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输血前不规则抗体检测对输血安全性的影响研究</w:t>
      </w:r>
    </w:p>
    <w:p>
      <w:pPr>
        <w:spacing w:line="360" w:lineRule="auto"/>
        <w:jc w:val="center"/>
        <w:rPr>
          <w:rFonts w:hint="default" w:asciiTheme="minorEastAsia" w:hAnsiTheme="minorEastAsia" w:eastAsiaTheme="minorEastAsia" w:cstheme="minorEastAsia"/>
          <w:b/>
          <w:bCs/>
          <w:sz w:val="32"/>
          <w:szCs w:val="40"/>
          <w:lang w:val="en-US" w:eastAsia="zh-CN"/>
        </w:rPr>
      </w:pPr>
      <w:bookmarkStart w:id="0" w:name="_GoBack"/>
      <w:r>
        <w:rPr>
          <w:rFonts w:hint="eastAsia" w:asciiTheme="minorEastAsia" w:hAnsiTheme="minorEastAsia" w:cstheme="minorEastAsia"/>
          <w:b/>
          <w:bCs/>
          <w:sz w:val="32"/>
          <w:szCs w:val="40"/>
        </w:rPr>
        <w:t>陈国华</w:t>
      </w:r>
      <w:r>
        <w:rPr>
          <w:rFonts w:hint="eastAsia" w:asciiTheme="minorEastAsia" w:hAnsiTheme="minorEastAsia" w:cstheme="minorEastAsia"/>
          <w:b/>
          <w:bCs/>
          <w:sz w:val="32"/>
          <w:szCs w:val="40"/>
          <w:lang w:val="en-US" w:eastAsia="zh-CN"/>
        </w:rPr>
        <w:t xml:space="preserve"> 13158801808</w:t>
      </w:r>
    </w:p>
    <w:p>
      <w:pPr>
        <w:spacing w:line="360" w:lineRule="auto"/>
        <w:jc w:val="center"/>
        <w:rPr>
          <w:rFonts w:hint="default" w:asciiTheme="minorEastAsia" w:hAnsiTheme="minorEastAsia" w:eastAsiaTheme="minorEastAsia" w:cstheme="minorEastAsia"/>
          <w:b/>
          <w:bCs/>
          <w:sz w:val="32"/>
          <w:szCs w:val="40"/>
          <w:lang w:val="en-US" w:eastAsia="zh-CN"/>
        </w:rPr>
      </w:pPr>
      <w:r>
        <w:rPr>
          <w:rFonts w:hint="eastAsia" w:asciiTheme="minorEastAsia" w:hAnsiTheme="minorEastAsia" w:cstheme="minorEastAsia"/>
          <w:b/>
          <w:bCs/>
          <w:sz w:val="32"/>
          <w:szCs w:val="40"/>
        </w:rPr>
        <w:t>自贡市中医医院</w:t>
      </w:r>
      <w:r>
        <w:rPr>
          <w:rFonts w:hint="eastAsia" w:asciiTheme="minorEastAsia" w:hAnsiTheme="minorEastAsia" w:cstheme="minorEastAsia"/>
          <w:b/>
          <w:bCs/>
          <w:sz w:val="32"/>
          <w:szCs w:val="40"/>
          <w:lang w:val="en-US" w:eastAsia="zh-CN"/>
        </w:rPr>
        <w:t xml:space="preserve"> 643000</w:t>
      </w:r>
    </w:p>
    <w:bookmarkEnd w:id="0"/>
    <w:p>
      <w:pPr>
        <w:pStyle w:val="2"/>
        <w:rPr>
          <w:rFonts w:hint="eastAsia"/>
        </w:rPr>
      </w:pP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摘要：目的：</w:t>
      </w:r>
      <w:r>
        <w:rPr>
          <w:rFonts w:hint="eastAsia" w:ascii="宋体" w:hAnsi="宋体" w:eastAsia="宋体" w:cs="宋体"/>
          <w:color w:val="000000" w:themeColor="text1"/>
          <w:shd w:val="clear" w:color="auto" w:fill="FFFFFF"/>
          <w14:textFill>
            <w14:solidFill>
              <w14:schemeClr w14:val="tx1"/>
            </w14:solidFill>
          </w14:textFill>
        </w:rPr>
        <w:t>对输血前不规则抗体检测对输血安全性的影响进行研究和分析。</w:t>
      </w:r>
      <w:r>
        <w:rPr>
          <w:rFonts w:hint="eastAsia" w:ascii="宋体" w:hAnsi="宋体" w:eastAsia="宋体" w:cs="宋体"/>
          <w:b/>
          <w:bCs/>
          <w:color w:val="000000" w:themeColor="text1"/>
          <w:shd w:val="clear" w:color="auto" w:fill="FFFFFF"/>
          <w14:textFill>
            <w14:solidFill>
              <w14:schemeClr w14:val="tx1"/>
            </w14:solidFill>
          </w14:textFill>
        </w:rPr>
        <w:t>方法：</w:t>
      </w:r>
      <w:r>
        <w:rPr>
          <w:rFonts w:hint="eastAsia" w:ascii="宋体" w:hAnsi="宋体" w:eastAsia="宋体" w:cs="宋体"/>
          <w:color w:val="000000" w:themeColor="text1"/>
          <w:shd w:val="clear" w:color="auto" w:fill="FFFFFF"/>
          <w14:textFill>
            <w14:solidFill>
              <w14:schemeClr w14:val="tx1"/>
            </w14:solidFill>
          </w14:textFill>
        </w:rPr>
        <w:t>选取本院输血科收录的180例患者作为研究对象，采用随机抽样法联合患者的基本资料进行分组，分为实验组和对照组，每组90例。对照组在输血前未进行不规则抗体检测，实验组在输血前进行不规则抗体检测，然后对比两组的相关指标。</w:t>
      </w:r>
      <w:r>
        <w:rPr>
          <w:rFonts w:hint="eastAsia" w:ascii="宋体" w:hAnsi="宋体" w:eastAsia="宋体" w:cs="宋体"/>
          <w:b/>
          <w:bCs/>
          <w:color w:val="000000" w:themeColor="text1"/>
          <w:shd w:val="clear" w:color="auto" w:fill="FFFFFF"/>
          <w14:textFill>
            <w14:solidFill>
              <w14:schemeClr w14:val="tx1"/>
            </w14:solidFill>
          </w14:textFill>
        </w:rPr>
        <w:t>结果：</w:t>
      </w:r>
      <w:r>
        <w:rPr>
          <w:rFonts w:hint="eastAsia" w:ascii="宋体" w:hAnsi="宋体" w:eastAsia="宋体" w:cs="宋体"/>
          <w:color w:val="000000" w:themeColor="text1"/>
          <w:shd w:val="clear" w:color="auto" w:fill="FFFFFF"/>
          <w14:textFill>
            <w14:solidFill>
              <w14:schemeClr w14:val="tx1"/>
            </w14:solidFill>
          </w14:textFill>
        </w:rPr>
        <w:t>实验组的相关指标均优于对照组（p&lt;0.05）。</w:t>
      </w:r>
      <w:r>
        <w:rPr>
          <w:rFonts w:hint="eastAsia" w:ascii="宋体" w:hAnsi="宋体" w:eastAsia="宋体" w:cs="宋体"/>
          <w:b/>
          <w:bCs/>
          <w:color w:val="000000" w:themeColor="text1"/>
          <w:shd w:val="clear" w:color="auto" w:fill="FFFFFF"/>
          <w14:textFill>
            <w14:solidFill>
              <w14:schemeClr w14:val="tx1"/>
            </w14:solidFill>
          </w14:textFill>
        </w:rPr>
        <w:t>结论：</w:t>
      </w:r>
      <w:r>
        <w:rPr>
          <w:rFonts w:hint="eastAsia" w:ascii="宋体" w:hAnsi="宋体" w:eastAsia="宋体" w:cs="宋体"/>
          <w:color w:val="000000" w:themeColor="text1"/>
          <w:shd w:val="clear" w:color="auto" w:fill="FFFFFF"/>
          <w14:textFill>
            <w14:solidFill>
              <w14:schemeClr w14:val="tx1"/>
            </w14:solidFill>
          </w14:textFill>
        </w:rPr>
        <w:t>在输血前进行不规则抗体检测可以提高输血的安全性，值得临床推广。</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关键词：</w:t>
      </w:r>
      <w:r>
        <w:rPr>
          <w:rFonts w:hint="eastAsia" w:ascii="宋体" w:hAnsi="宋体" w:eastAsia="宋体" w:cs="宋体"/>
          <w:color w:val="000000" w:themeColor="text1"/>
          <w:shd w:val="clear" w:color="auto" w:fill="FFFFFF"/>
          <w14:textFill>
            <w14:solidFill>
              <w14:schemeClr w14:val="tx1"/>
            </w14:solidFill>
          </w14:textFill>
        </w:rPr>
        <w:t>输血；不规则抗体检测；输血安全性</w:t>
      </w: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引言：</w:t>
      </w:r>
      <w:r>
        <w:rPr>
          <w:rFonts w:hint="eastAsia" w:ascii="宋体" w:hAnsi="宋体" w:eastAsia="宋体" w:cs="宋体"/>
          <w:color w:val="000000" w:themeColor="text1"/>
          <w:shd w:val="clear" w:color="auto" w:fill="FFFFFF"/>
          <w14:textFill>
            <w14:solidFill>
              <w14:schemeClr w14:val="tx1"/>
            </w14:solidFill>
          </w14:textFill>
        </w:rPr>
        <w:t>在临床治疗过程中，输血时较为常见的治疗手段。在实际的输血过程中存在一定的问题导致患者在输血治疗后产生严重不良反应</w:t>
      </w:r>
      <w:r>
        <w:rPr>
          <w:rFonts w:hint="eastAsia" w:ascii="宋体" w:hAnsi="宋体" w:eastAsia="宋体" w:cs="宋体"/>
          <w:bCs/>
          <w:color w:val="FF0000"/>
          <w:highlight w:val="yellow"/>
          <w:vertAlign w:val="superscript"/>
        </w:rPr>
        <w:t>[1]</w:t>
      </w:r>
      <w:r>
        <w:rPr>
          <w:rFonts w:hint="eastAsia" w:ascii="宋体" w:hAnsi="宋体" w:eastAsia="宋体" w:cs="宋体"/>
          <w:color w:val="000000" w:themeColor="text1"/>
          <w:shd w:val="clear" w:color="auto" w:fill="FFFFFF"/>
          <w14:textFill>
            <w14:solidFill>
              <w14:schemeClr w14:val="tx1"/>
            </w14:solidFill>
          </w14:textFill>
        </w:rPr>
        <w:t>。在输血前没有对患者进行不规则抗体检测，使得患者出现贫血、黄疸等现象，如果不良反应比较严重，可能会有致命风险。为了提升输血治疗的安全性，需要在患者进行输血前实施不规则抗体检测，降低患者产生不良反应的概率。本次研究主要是对输血前不规则抗体检测对输血安全性的影响进行研究和分析，现报道如下。</w:t>
      </w: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1 资料与方法</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1.1一般资料</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研究时间为2020年1月~2021年1月，选取本院输血科收录的180例患者作为研究对象，采用随机抽样法联合患者的基本资料进行分组，分为实验组和对照组。其中实验组90例，男52例，女38例，年龄1~74岁，平均年龄（42.26±12.49）岁；对照组90例，男42例，48例，年龄2~76岁，平均年龄（41.34±12.17）岁；对比两组患者的一般资料（P&gt;0.05），具有可比性。</w:t>
      </w: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纳入标准：（1）患者年龄在18岁以上；（2）患者精神正常，无神经系统疾病；（3）患者临床资料完整；排除标准：（1）合并心肝肾功能障碍患者；（2）存在血液系统疾病；（3）合并原发性疾病抑制免疫功能障碍。</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1.2 研究方法</w:t>
      </w: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对照组：在输血前未进行不规则抗体检测。直接对患者进行输血治疗，在输血前不进行不规则抗体检测。在患者接受输血治疗后，护理人员要对患者进行密切的关注，避免患者在输血后出现不良反应。如果患者出现生命体征异常的现象，要及时上报医生并对其进行针对性的处理。</w:t>
      </w:r>
    </w:p>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实验组：在输血前进行不规则抗体检测。患者在输血前进行不规则抗体检测，并采用微柱凝胶抗人球蛋白法进行输血前筛检。不规则抗体检测进行前需要做充分准备工作，准备谱细胞、筛选细胞、聚凝胺试剂等材料，随后对患者的血液进行采集，一般是采取3ml静脉血，上述采血流程需要在无菌环境下进行。随后对血液进行离心处理，离心时间3min，在无纤维蛋白凝块干扰的情况下进行检测。如果血液采集后无法立刻进行检测，需要对血液进行妥善保管，要求在2~8℃的恒温环境中保存。如果检测结果显示存在不规则抗体的患者，在输血时尽量选择相同血型，如果没有相同血型，则选择O型血型。</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1.3观察指标</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对比实验组和对照组的相关指标，具体内容如下：（1）对比两组的抗体结果；（2）对比两组的不良反应发生情况。</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1.4统计学方法</w:t>
      </w:r>
    </w:p>
    <w:p>
      <w:pPr>
        <w:pStyle w:val="3"/>
        <w:widowControl/>
        <w:spacing w:line="360" w:lineRule="auto"/>
        <w:ind w:firstLine="475"/>
        <w:textAlignment w:val="baseline"/>
        <w:rPr>
          <w:rFonts w:ascii="新宋体" w:hAnsi="新宋体" w:eastAsia="新宋体" w:cs="新宋体"/>
          <w:color w:val="000000"/>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shd w:val="clear" w:color="auto" w:fill="FFFFFF"/>
        </w:rPr>
        <w:t>临床数据统一收集于</w:t>
      </w:r>
      <w:r>
        <w:rPr>
          <w:rFonts w:hint="eastAsia" w:ascii="宋体" w:hAnsi="宋体" w:eastAsia="宋体"/>
          <w:color w:val="000000"/>
          <w:szCs w:val="36"/>
        </w:rPr>
        <w:t>Excel 2021表格，使用SPSS23.00软件分析指标，率（n,%）为计数资料，X</w:t>
      </w:r>
      <w:r>
        <w:rPr>
          <w:rFonts w:ascii="宋体" w:hAnsi="宋体" w:eastAsia="宋体"/>
          <w:color w:val="000000"/>
          <w:szCs w:val="36"/>
          <w:vertAlign w:val="superscript"/>
        </w:rPr>
        <w:t>2</w:t>
      </w:r>
      <w:r>
        <w:rPr>
          <w:rFonts w:hint="eastAsia" w:ascii="宋体" w:hAnsi="宋体" w:eastAsia="宋体"/>
          <w:color w:val="000000"/>
          <w:szCs w:val="36"/>
        </w:rPr>
        <w:t>检验；计量资料为均差，</w:t>
      </w:r>
      <w:r>
        <w:rPr>
          <w:rFonts w:hint="eastAsia" w:ascii="新宋体" w:hAnsi="新宋体" w:eastAsia="新宋体" w:cs="新宋体"/>
          <w:color w:val="000000"/>
        </w:rPr>
        <w:t>[n（</w:t>
      </w:r>
      <w:r>
        <w:rPr>
          <w:rFonts w:hint="eastAsia" w:ascii="新宋体" w:hAnsi="新宋体" w:eastAsia="新宋体" w:cs="新宋体"/>
          <w:color w:val="000000"/>
          <w:position w:val="-6"/>
        </w:rPr>
        <w:drawing>
          <wp:inline distT="0" distB="0" distL="114300" distR="114300">
            <wp:extent cx="292735" cy="279400"/>
            <wp:effectExtent l="0" t="0" r="1206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92735" cy="279400"/>
                    </a:xfrm>
                    <a:prstGeom prst="rect">
                      <a:avLst/>
                    </a:prstGeom>
                    <a:noFill/>
                    <a:ln>
                      <a:noFill/>
                    </a:ln>
                  </pic:spPr>
                </pic:pic>
              </a:graphicData>
            </a:graphic>
          </wp:inline>
        </w:drawing>
      </w:r>
      <w:r>
        <w:rPr>
          <w:rFonts w:hint="eastAsia" w:ascii="新宋体" w:hAnsi="新宋体" w:eastAsia="新宋体" w:cs="新宋体"/>
          <w:color w:val="000000"/>
        </w:rPr>
        <w:t>）]表示，t检验；指标统计学以P＜0.05为标准。</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2 结果</w:t>
      </w: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2.1两组抗体结果对比</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实验组的阳性率为6.67%，远低于对照组的17.89%（p&lt;0.05），见表1。</w:t>
      </w:r>
    </w:p>
    <w:p>
      <w:pPr>
        <w:pStyle w:val="3"/>
        <w:widowControl/>
        <w:spacing w:after="202" w:line="360" w:lineRule="auto"/>
        <w:ind w:firstLine="420"/>
        <w:jc w:val="center"/>
        <w:textAlignment w:val="baseline"/>
        <w:rPr>
          <w:rFonts w:hint="eastAsia" w:ascii="宋体" w:hAnsi="宋体" w:eastAsia="宋体" w:cs="宋体"/>
          <w:color w:val="000000" w:themeColor="text1"/>
          <w:shd w:val="clear" w:color="auto" w:fill="FFFFFF"/>
          <w14:textFill>
            <w14:solidFill>
              <w14:schemeClr w14:val="tx1"/>
            </w14:solidFill>
          </w14:textFill>
        </w:rPr>
      </w:pPr>
    </w:p>
    <w:p>
      <w:pPr>
        <w:pStyle w:val="3"/>
        <w:widowControl/>
        <w:spacing w:after="202" w:line="360" w:lineRule="auto"/>
        <w:ind w:firstLine="420"/>
        <w:jc w:val="center"/>
        <w:textAlignment w:val="baseline"/>
        <w:rPr>
          <w:rFonts w:hint="eastAsia" w:ascii="宋体" w:hAnsi="宋体" w:eastAsia="宋体" w:cs="宋体"/>
          <w:color w:val="000000" w:themeColor="text1"/>
          <w:shd w:val="clear" w:color="auto" w:fill="FFFFFF"/>
          <w14:textFill>
            <w14:solidFill>
              <w14:schemeClr w14:val="tx1"/>
            </w14:solidFill>
          </w14:textFill>
        </w:rPr>
      </w:pPr>
    </w:p>
    <w:p>
      <w:pPr>
        <w:pStyle w:val="3"/>
        <w:widowControl/>
        <w:spacing w:after="202" w:line="360" w:lineRule="auto"/>
        <w:jc w:val="both"/>
        <w:textAlignment w:val="baseline"/>
        <w:rPr>
          <w:rFonts w:hint="eastAsia" w:ascii="宋体" w:hAnsi="宋体" w:eastAsia="宋体" w:cs="宋体"/>
          <w:color w:val="000000" w:themeColor="text1"/>
          <w:shd w:val="clear" w:color="auto" w:fill="FFFFFF"/>
          <w14:textFill>
            <w14:solidFill>
              <w14:schemeClr w14:val="tx1"/>
            </w14:solidFill>
          </w14:textFill>
        </w:rPr>
      </w:pPr>
    </w:p>
    <w:p>
      <w:pPr>
        <w:pStyle w:val="3"/>
        <w:widowControl/>
        <w:spacing w:after="202" w:line="360" w:lineRule="auto"/>
        <w:ind w:firstLine="2640" w:firstLineChars="1100"/>
        <w:jc w:val="both"/>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表1 两组抗体结果对比 [%]</w:t>
      </w:r>
    </w:p>
    <w:tbl>
      <w:tblPr>
        <w:tblStyle w:val="4"/>
        <w:tblW w:w="9255" w:type="dxa"/>
        <w:tblCellSpacing w:w="0" w:type="dxa"/>
        <w:tblInd w:w="0" w:type="dxa"/>
        <w:tblLayout w:type="autofit"/>
        <w:tblCellMar>
          <w:top w:w="105" w:type="dxa"/>
          <w:left w:w="105" w:type="dxa"/>
          <w:bottom w:w="105" w:type="dxa"/>
          <w:right w:w="105" w:type="dxa"/>
        </w:tblCellMar>
      </w:tblPr>
      <w:tblGrid>
        <w:gridCol w:w="916"/>
        <w:gridCol w:w="839"/>
        <w:gridCol w:w="1221"/>
        <w:gridCol w:w="1221"/>
        <w:gridCol w:w="1221"/>
        <w:gridCol w:w="1221"/>
        <w:gridCol w:w="1221"/>
        <w:gridCol w:w="1395"/>
      </w:tblGrid>
      <w:tr>
        <w:tblPrEx>
          <w:tblCellMar>
            <w:top w:w="105" w:type="dxa"/>
            <w:left w:w="105" w:type="dxa"/>
            <w:bottom w:w="105" w:type="dxa"/>
            <w:right w:w="105" w:type="dxa"/>
          </w:tblCellMar>
        </w:tblPrEx>
        <w:trPr>
          <w:trHeight w:val="736" w:hRule="atLeast"/>
          <w:tblCellSpacing w:w="0" w:type="dxa"/>
        </w:trPr>
        <w:tc>
          <w:tcPr>
            <w:tcW w:w="916"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组别</w:t>
            </w:r>
          </w:p>
        </w:tc>
        <w:tc>
          <w:tcPr>
            <w:tcW w:w="83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例数</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抗-c</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抗-C</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抗-D</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抗-e</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抗-E</w:t>
            </w:r>
          </w:p>
        </w:tc>
        <w:tc>
          <w:tcPr>
            <w:tcW w:w="139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阳性率</w:t>
            </w:r>
          </w:p>
        </w:tc>
      </w:tr>
      <w:tr>
        <w:tblPrEx>
          <w:tblCellMar>
            <w:top w:w="105" w:type="dxa"/>
            <w:left w:w="105" w:type="dxa"/>
            <w:bottom w:w="105" w:type="dxa"/>
            <w:right w:w="105" w:type="dxa"/>
          </w:tblCellMar>
        </w:tblPrEx>
        <w:trPr>
          <w:trHeight w:val="736" w:hRule="atLeast"/>
          <w:tblCellSpacing w:w="0" w:type="dxa"/>
        </w:trPr>
        <w:tc>
          <w:tcPr>
            <w:tcW w:w="916"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实验组</w:t>
            </w:r>
          </w:p>
        </w:tc>
        <w:tc>
          <w:tcPr>
            <w:tcW w:w="83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90</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1（1.11）</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0（0.00）</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0（0.00）</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2（2.22）</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3（3.33）</w:t>
            </w:r>
          </w:p>
        </w:tc>
        <w:tc>
          <w:tcPr>
            <w:tcW w:w="139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6（6.67）</w:t>
            </w:r>
          </w:p>
        </w:tc>
      </w:tr>
      <w:tr>
        <w:tblPrEx>
          <w:tblCellMar>
            <w:top w:w="105" w:type="dxa"/>
            <w:left w:w="105" w:type="dxa"/>
            <w:bottom w:w="105" w:type="dxa"/>
            <w:right w:w="105" w:type="dxa"/>
          </w:tblCellMar>
        </w:tblPrEx>
        <w:trPr>
          <w:trHeight w:val="736" w:hRule="atLeast"/>
          <w:tblCellSpacing w:w="0" w:type="dxa"/>
        </w:trPr>
        <w:tc>
          <w:tcPr>
            <w:tcW w:w="916"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对照组</w:t>
            </w:r>
          </w:p>
        </w:tc>
        <w:tc>
          <w:tcPr>
            <w:tcW w:w="83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90</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3（3.33）</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5（5.56）</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2（2.22）</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3（3.33）</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4（4.44）</w:t>
            </w:r>
          </w:p>
        </w:tc>
        <w:tc>
          <w:tcPr>
            <w:tcW w:w="139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17（18.89）</w:t>
            </w:r>
          </w:p>
        </w:tc>
      </w:tr>
      <w:tr>
        <w:tblPrEx>
          <w:tblCellMar>
            <w:top w:w="105" w:type="dxa"/>
            <w:left w:w="105" w:type="dxa"/>
            <w:bottom w:w="105" w:type="dxa"/>
            <w:right w:w="105" w:type="dxa"/>
          </w:tblCellMar>
        </w:tblPrEx>
        <w:trPr>
          <w:trHeight w:val="736" w:hRule="atLeast"/>
          <w:tblCellSpacing w:w="0" w:type="dxa"/>
        </w:trPr>
        <w:tc>
          <w:tcPr>
            <w:tcW w:w="916"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χ²</w:t>
            </w:r>
          </w:p>
        </w:tc>
        <w:tc>
          <w:tcPr>
            <w:tcW w:w="83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9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6.032</w:t>
            </w:r>
          </w:p>
        </w:tc>
      </w:tr>
      <w:tr>
        <w:tblPrEx>
          <w:tblCellMar>
            <w:top w:w="105" w:type="dxa"/>
            <w:left w:w="105" w:type="dxa"/>
            <w:bottom w:w="105" w:type="dxa"/>
            <w:right w:w="105" w:type="dxa"/>
          </w:tblCellMar>
        </w:tblPrEx>
        <w:trPr>
          <w:trHeight w:val="736" w:hRule="atLeast"/>
          <w:tblCellSpacing w:w="0" w:type="dxa"/>
        </w:trPr>
        <w:tc>
          <w:tcPr>
            <w:tcW w:w="916"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P</w:t>
            </w:r>
          </w:p>
        </w:tc>
        <w:tc>
          <w:tcPr>
            <w:tcW w:w="83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22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9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0.014</w:t>
            </w:r>
          </w:p>
        </w:tc>
      </w:tr>
    </w:tbl>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2.2 两组不良反应发生率对比</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实验组的不良反应发生率为8.89%。低于对照组的25.56%（p&lt;0.05），见表2。</w:t>
      </w:r>
    </w:p>
    <w:p>
      <w:pPr>
        <w:pStyle w:val="3"/>
        <w:widowControl/>
        <w:spacing w:after="202" w:line="360" w:lineRule="auto"/>
        <w:ind w:firstLine="420"/>
        <w:jc w:val="center"/>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表2 两组不良反应发生率对比 [%]</w:t>
      </w:r>
    </w:p>
    <w:tbl>
      <w:tblPr>
        <w:tblStyle w:val="4"/>
        <w:tblW w:w="8595" w:type="dxa"/>
        <w:tblCellSpacing w:w="0" w:type="dxa"/>
        <w:tblInd w:w="0" w:type="dxa"/>
        <w:tblLayout w:type="autofit"/>
        <w:tblCellMar>
          <w:top w:w="105" w:type="dxa"/>
          <w:left w:w="105" w:type="dxa"/>
          <w:bottom w:w="105" w:type="dxa"/>
          <w:right w:w="105" w:type="dxa"/>
        </w:tblCellMar>
      </w:tblPr>
      <w:tblGrid>
        <w:gridCol w:w="861"/>
        <w:gridCol w:w="664"/>
        <w:gridCol w:w="1148"/>
        <w:gridCol w:w="1148"/>
        <w:gridCol w:w="1148"/>
        <w:gridCol w:w="1148"/>
        <w:gridCol w:w="1149"/>
        <w:gridCol w:w="1329"/>
      </w:tblGrid>
      <w:tr>
        <w:tblPrEx>
          <w:tblCellMar>
            <w:top w:w="105" w:type="dxa"/>
            <w:left w:w="105" w:type="dxa"/>
            <w:bottom w:w="105" w:type="dxa"/>
            <w:right w:w="105" w:type="dxa"/>
          </w:tblCellMar>
        </w:tblPrEx>
        <w:trPr>
          <w:trHeight w:val="286" w:hRule="atLeast"/>
          <w:tblCellSpacing w:w="0" w:type="dxa"/>
        </w:trPr>
        <w:tc>
          <w:tcPr>
            <w:tcW w:w="86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组别</w:t>
            </w:r>
          </w:p>
        </w:tc>
        <w:tc>
          <w:tcPr>
            <w:tcW w:w="664"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例数</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发热</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溶血</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过敏</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紫癜</w:t>
            </w:r>
          </w:p>
        </w:tc>
        <w:tc>
          <w:tcPr>
            <w:tcW w:w="114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寒战</w:t>
            </w:r>
          </w:p>
        </w:tc>
        <w:tc>
          <w:tcPr>
            <w:tcW w:w="132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总发生率</w:t>
            </w:r>
          </w:p>
        </w:tc>
      </w:tr>
      <w:tr>
        <w:trPr>
          <w:trHeight w:val="301" w:hRule="atLeast"/>
          <w:tblCellSpacing w:w="0" w:type="dxa"/>
        </w:trPr>
        <w:tc>
          <w:tcPr>
            <w:tcW w:w="86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实验组</w:t>
            </w:r>
          </w:p>
        </w:tc>
        <w:tc>
          <w:tcPr>
            <w:tcW w:w="664"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90</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3（3.33）</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1（1.11）</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1（1.11）</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1（1.11）</w:t>
            </w:r>
          </w:p>
        </w:tc>
        <w:tc>
          <w:tcPr>
            <w:tcW w:w="114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2（2.22）</w:t>
            </w:r>
          </w:p>
        </w:tc>
        <w:tc>
          <w:tcPr>
            <w:tcW w:w="132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8（8.89）</w:t>
            </w:r>
          </w:p>
        </w:tc>
      </w:tr>
      <w:tr>
        <w:tblPrEx>
          <w:tblCellMar>
            <w:top w:w="105" w:type="dxa"/>
            <w:left w:w="105" w:type="dxa"/>
            <w:bottom w:w="105" w:type="dxa"/>
            <w:right w:w="105" w:type="dxa"/>
          </w:tblCellMar>
        </w:tblPrEx>
        <w:trPr>
          <w:trHeight w:val="301" w:hRule="atLeast"/>
          <w:tblCellSpacing w:w="0" w:type="dxa"/>
        </w:trPr>
        <w:tc>
          <w:tcPr>
            <w:tcW w:w="86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对照组</w:t>
            </w:r>
          </w:p>
        </w:tc>
        <w:tc>
          <w:tcPr>
            <w:tcW w:w="664"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90</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5（5.56）</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8（8.89）</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5（5.56）</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2（2.22）</w:t>
            </w:r>
          </w:p>
        </w:tc>
        <w:tc>
          <w:tcPr>
            <w:tcW w:w="114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3（3.33）</w:t>
            </w:r>
          </w:p>
        </w:tc>
        <w:tc>
          <w:tcPr>
            <w:tcW w:w="132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23（25.56）</w:t>
            </w:r>
          </w:p>
        </w:tc>
      </w:tr>
      <w:tr>
        <w:tblPrEx>
          <w:tblCellMar>
            <w:top w:w="105" w:type="dxa"/>
            <w:left w:w="105" w:type="dxa"/>
            <w:bottom w:w="105" w:type="dxa"/>
            <w:right w:w="105" w:type="dxa"/>
          </w:tblCellMar>
        </w:tblPrEx>
        <w:trPr>
          <w:trHeight w:val="301" w:hRule="atLeast"/>
          <w:tblCellSpacing w:w="0" w:type="dxa"/>
        </w:trPr>
        <w:tc>
          <w:tcPr>
            <w:tcW w:w="86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χ²</w:t>
            </w:r>
          </w:p>
        </w:tc>
        <w:tc>
          <w:tcPr>
            <w:tcW w:w="664"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2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8.768</w:t>
            </w:r>
          </w:p>
        </w:tc>
      </w:tr>
      <w:tr>
        <w:tblPrEx>
          <w:tblCellMar>
            <w:top w:w="105" w:type="dxa"/>
            <w:left w:w="105" w:type="dxa"/>
            <w:bottom w:w="105" w:type="dxa"/>
            <w:right w:w="105" w:type="dxa"/>
          </w:tblCellMar>
        </w:tblPrEx>
        <w:trPr>
          <w:trHeight w:val="286" w:hRule="atLeast"/>
          <w:tblCellSpacing w:w="0" w:type="dxa"/>
        </w:trPr>
        <w:tc>
          <w:tcPr>
            <w:tcW w:w="861"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ind w:firstLine="420"/>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P</w:t>
            </w:r>
          </w:p>
        </w:tc>
        <w:tc>
          <w:tcPr>
            <w:tcW w:w="664"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8"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14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29"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pPr>
              <w:pStyle w:val="3"/>
              <w:widowControl/>
              <w:spacing w:after="225"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0.003</w:t>
            </w:r>
          </w:p>
        </w:tc>
      </w:tr>
    </w:tbl>
    <w:p>
      <w:pPr>
        <w:pStyle w:val="3"/>
        <w:widowControl/>
        <w:spacing w:line="360" w:lineRule="auto"/>
        <w:ind w:firstLine="420"/>
        <w:textAlignment w:val="baseline"/>
        <w:rPr>
          <w:rFonts w:ascii="宋体" w:hAnsi="宋体" w:eastAsia="宋体" w:cs="宋体"/>
          <w:color w:val="000000" w:themeColor="text1"/>
          <w14:textFill>
            <w14:solidFill>
              <w14:schemeClr w14:val="tx1"/>
            </w14:solidFill>
          </w14:textFill>
        </w:rPr>
      </w:pPr>
    </w:p>
    <w:p>
      <w:pPr>
        <w:pStyle w:val="3"/>
        <w:widowControl/>
        <w:spacing w:line="360" w:lineRule="auto"/>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3 讨论</w:t>
      </w:r>
    </w:p>
    <w:p>
      <w:pPr>
        <w:pStyle w:val="3"/>
        <w:widowControl/>
        <w:spacing w:line="360" w:lineRule="auto"/>
        <w:ind w:firstLine="475"/>
        <w:textAlignment w:val="baseline"/>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输血是临床治疗中使用比较频繁的治疗手段，也是救治患者的重要方式。输血在临床上使用时所面临的对象主要是产妇、癌症患者、患有免疫性疾病的患者，这类患者属于特殊人群，在进行输血治疗时，如果输入的血液与患者自身的血型不匹配，可能导致患者在输血后产生较为严重的不良反应，使患者出现发热、过敏、寒战等症状，严重时还可能会对患者的生命安全造成威胁</w:t>
      </w:r>
      <w:r>
        <w:rPr>
          <w:rFonts w:hint="eastAsia" w:ascii="宋体" w:hAnsi="宋体" w:eastAsia="宋体" w:cs="宋体"/>
          <w:bCs/>
          <w:color w:val="FF0000"/>
          <w:highlight w:val="yellow"/>
          <w:vertAlign w:val="superscript"/>
        </w:rPr>
        <w:t>[2]</w:t>
      </w:r>
      <w:r>
        <w:rPr>
          <w:rFonts w:hint="eastAsia" w:ascii="宋体" w:hAnsi="宋体" w:eastAsia="宋体" w:cs="宋体"/>
          <w:color w:val="000000" w:themeColor="text1"/>
          <w:shd w:val="clear" w:color="auto" w:fill="FFFFFF"/>
          <w14:textFill>
            <w14:solidFill>
              <w14:schemeClr w14:val="tx1"/>
            </w14:solidFill>
          </w14:textFill>
        </w:rPr>
        <w:t>。患者在输血后出现不良反应的原因是患者自身携带不规则抗体，在输入不相匹配的血液后，这类不规则抗体对血液产生严重的排斥反应，使得患者出现不良症状。一般情况下，正常人身体中所带有的不规则抗体比较少，但是如果患者有过输血经历，则会使患者身体中的不规则抗体占比升高，使患者极易出现免疫性反应。而输血者通常是危重症患者，如果出现输血不及时会对患者产生严重的不良后果。而如果在输血过程中出现血型不匹配，则会发生抗凝现象，增加血管内栓塞，引发心血管疾病。因此，在进行输血前，需要加强血液检测，降低输血反应。不规则抗体很容易造成免疫、溶栓、免疫、溶血反应，且抗体多为IgG单倍体，主要由妊娠或输血等免疫刺激产生。在输血过程中，IgG效价的强弱与输血反应存在直接关系[4]。</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为了提升临床输血治疗的安全性，医院要在患者输血前进行不规则抗体检测，并对检测结果进行分析，随后根据检测结果给予患者相应的预防措施，最大限度地降低患者的不良反应发生率</w:t>
      </w:r>
      <w:r>
        <w:rPr>
          <w:rFonts w:hint="eastAsia" w:ascii="宋体" w:hAnsi="宋体" w:eastAsia="宋体" w:cs="宋体"/>
          <w:bCs/>
          <w:color w:val="FF0000"/>
          <w:highlight w:val="yellow"/>
          <w:vertAlign w:val="superscript"/>
        </w:rPr>
        <w:t>[3]</w:t>
      </w:r>
      <w:r>
        <w:rPr>
          <w:rFonts w:hint="eastAsia" w:ascii="宋体" w:hAnsi="宋体" w:eastAsia="宋体" w:cs="宋体"/>
          <w:color w:val="000000" w:themeColor="text1"/>
          <w:shd w:val="clear" w:color="auto" w:fill="FFFFFF"/>
          <w14:textFill>
            <w14:solidFill>
              <w14:schemeClr w14:val="tx1"/>
            </w14:solidFill>
          </w14:textFill>
        </w:rPr>
        <w:t>。如果患者在临床输血治疗后出现不良反应，会对患者的身体、心里都造成一定的影响，同时患者为了治疗不良反应还需要延长住院时间，给患者及其家庭增加了经济负担。因此，为了保障输血的安全性，要在输血前对患者进行不规则抗体检测，并根据检测结果采取相应措施进行预防，能够有效降低患者不良反应的发生。</w:t>
      </w:r>
    </w:p>
    <w:p>
      <w:pPr>
        <w:pStyle w:val="3"/>
        <w:widowControl/>
        <w:spacing w:line="360" w:lineRule="auto"/>
        <w:ind w:firstLine="475"/>
        <w:textAlignment w:val="baseline"/>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综上所述,在患者输血前进行不规则抗体检测，能够有效降低患者输血不良反应发生率，提高输血安全性，值得临床推广。</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参考文献：</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[1]贾冰,乔世岩.新生儿溶血病患儿输血前应用微柱凝胶检测新生儿溶血三项、红细胞不规则抗体的价值[J].中国现代医药杂志,2021,23(09):38-40.</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[2]徐其忠,黄响高.输血前不规则抗体检测在输血中的引用及对输血安全性的影响[J].当代医学,2020,26(26):20-21.</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[3]沈祖建. 输血前不规则抗体检测对输血安全性的影响探讨[C]//.全国科研理论学术研究成果汇编（三）.,2020:15-17.[5]张磊.输血前不规则抗体检测对输血安全性的影响分析[J].中国现代药物应用,2020,14(06):204-206.</w:t>
      </w:r>
    </w:p>
    <w:p>
      <w:pPr>
        <w:spacing w:line="360" w:lineRule="auto"/>
        <w:rPr>
          <w:rFonts w:ascii="宋体" w:hAnsi="宋体" w:eastAsia="宋体" w:cs="宋体"/>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NjQ3ZGZkYWMyMThlZmViYzVmMjg1NGMzZDBmOGEifQ=="/>
  </w:docVars>
  <w:rsids>
    <w:rsidRoot w:val="00451E21"/>
    <w:rsid w:val="00451E21"/>
    <w:rsid w:val="00E86C17"/>
    <w:rsid w:val="21077F8E"/>
    <w:rsid w:val="412517E5"/>
    <w:rsid w:val="64301B61"/>
    <w:rsid w:val="73660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2469</Words>
  <Characters>2804</Characters>
  <Lines>20</Lines>
  <Paragraphs>5</Paragraphs>
  <TotalTime>1</TotalTime>
  <ScaleCrop>false</ScaleCrop>
  <LinksUpToDate>false</LinksUpToDate>
  <CharactersWithSpaces>2817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2022-05-10T06:13:00Z</dcterms:created>
  <dc:creator>Administrator</dc:creator>
  <cp:lastModifiedBy>DEL</cp:lastModifiedBy>
  <dcterms:modified xsi:type="dcterms:W3CDTF">2022-09-10T13:36:52Z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94E47939666544858FCE610B9A876D6C</vt:lpwstr>
  </property>
</Properties>
</file>