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肿瘤相关酶活性的检测新方法研究</w:t>
      </w:r>
    </w:p>
    <w:p>
      <w:pPr>
        <w:ind w:firstLine="560" w:firstLineChars="200"/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vertAlign w:val="superscript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作者：</w:t>
      </w:r>
      <w:bookmarkEnd w:id="0"/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陈思忆</w:t>
      </w:r>
      <w:r>
        <w:rPr>
          <w:rStyle w:val="5"/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footnoteReference w:id="0"/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 谢作维</w:t>
      </w:r>
      <w:r>
        <w:rPr>
          <w:rStyle w:val="5"/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footnoteReference w:id="1"/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 赵子鑫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vertAlign w:val="superscript"/>
          <w:lang w:val="en-US" w:eastAsia="zh-CN" w:bidi="ar"/>
        </w:rPr>
        <w:t xml:space="preserve">2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vertAlign w:val="baseline"/>
          <w:lang w:val="en-US" w:eastAsia="zh-CN" w:bidi="ar"/>
        </w:rPr>
        <w:t>易钢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vertAlign w:val="superscript"/>
          <w:lang w:val="en-US" w:eastAsia="zh-CN" w:bidi="ar"/>
        </w:rPr>
        <w:t>2</w:t>
      </w:r>
    </w:p>
    <w:p>
      <w:pP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      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摘要</w:t>
      </w:r>
    </w:p>
    <w:p>
      <w:pP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研究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背景及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目的：</w:t>
      </w:r>
    </w:p>
    <w:p>
      <w:pPr>
        <w:ind w:firstLine="560" w:firstLineChars="20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DNA损伤修复机制作为保障基因组稳定性以及实现DNA精准复制中的关键程序，如果其出现紊乱会促使恶性肿瘤的发生发展。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皮瓣内切酶1（Flap endonuclease 1，FEN1）因具有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特异性识别并切割 DNA代谢途径中产生的5’端分支DNA链的特点，成为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DNA代谢途径中的关键酶。因此，FEN1的相关分析为肿瘤研究和化疗药物的发展提供了不可估量的支持。然而，很少有分析技术能够实现FEN1活性的灵敏，方便、快捷检测。在此，我们构建了一种双翼开关纳米器件（Double-wing switch nanodevice，DWSN）介导的引物交换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反应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（Primer exchange reaction，PER），用于快速和无标记地精准定量 FEN1 活性。</w:t>
      </w:r>
    </w:p>
    <w:p>
      <w:pP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方法：</w:t>
      </w:r>
    </w:p>
    <w:p>
      <w:pPr>
        <w:ind w:firstLine="560" w:firstLineChars="20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靶标FEN1通过识别DWSN上的三碱基错配位点，切割并释放5’-分支DNA链。所释放的DNA链可作为引物触发PER而产生大量不同长度的端粒重复片段。伴随着荧光染料硫黄素T（ThT）的插入，实现了酶活性的转化和荧光信号的显著放大。荧光结果可通过荧光分光光度计进行记录。</w:t>
      </w:r>
    </w:p>
    <w:p>
      <w:pP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结果：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（1）12%的 Native-PAGE观察到不同分子量的显著连续条带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以及不同条件的荧光响应均可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证明该策略具有可行性。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（2）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在最优条件下，该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策略所记录的荧光信号与FEN1活性在0.001U ~ 8U范围内呈线性关系(Y = 302.72 × [FEN1] + 51.34, R</w:t>
      </w:r>
      <w:r>
        <w:rPr>
          <w:rFonts w:hint="default" w:ascii="Times New Roman" w:hAnsi="Times New Roman" w:eastAsia="宋体" w:cs="Times New Roman"/>
          <w:sz w:val="28"/>
          <w:szCs w:val="28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= 0.997)。根据S/N = 3的规则，检测限(LOD)为0.55 mU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。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（3）该策略不受生物代谢途径中其他生物酶的干扰，仅在FEN1存在时检测出强烈的荧光信号。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（4）根据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金精三羧酸（ATA）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浓度与FEN1的相对活性之间的关系，计算出ATA的半抑制浓度（IC</w:t>
      </w:r>
      <w:r>
        <w:rPr>
          <w:rFonts w:hint="default" w:ascii="Times New Roman" w:hAnsi="Times New Roman" w:eastAsia="宋体" w:cs="Times New Roman"/>
          <w:sz w:val="28"/>
          <w:szCs w:val="28"/>
          <w:vertAlign w:val="subscript"/>
          <w:lang w:val="en-US" w:eastAsia="zh-CN"/>
        </w:rPr>
        <w:t>50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）为0.19μM。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（5）该方法检测到肿瘤细胞（A549、HepG2、MCF-7）中FEN1的水平明显高于L02。并且，FEN1在细胞核中表达更活跃。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（6）通过血清加标回收实验测得FEN1样品的回收率在98.18%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~102.78%之间，相对标准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偏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差在0.71%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~3.43%之间，满足了分析方法的要求。</w:t>
      </w:r>
    </w:p>
    <w:p>
      <w:pP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结论：</w:t>
      </w:r>
    </w:p>
    <w:p>
      <w:pPr>
        <w:ind w:firstLine="560" w:firstLineChars="200"/>
        <w:rPr>
          <w:rFonts w:hint="default" w:ascii="Times New Roman" w:hAnsi="Times New Roman" w:eastAsia="宋体" w:cs="Times New Roman"/>
          <w:sz w:val="28"/>
          <w:szCs w:val="28"/>
          <w:vertAlign w:val="subscript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本研究打破了传统单个位点鉴定的局限性，表现出令人满意的灵敏度和特异性。此外，该策略可用于FEN1相关抑制剂的体外筛选和评估，定量检测人癌细胞中 FEN1 的活性，为肿瘤的早期筛查和靶向耐多药细胞的药物开发提供新的灵感。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2"/>
        <w:snapToGrid w:val="0"/>
      </w:pPr>
      <w:r>
        <w:rPr>
          <w:rStyle w:val="5"/>
        </w:rPr>
        <w:footnoteRef/>
      </w:r>
      <w: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 四川大学华西医院输血科 610044</w:t>
      </w:r>
    </w:p>
  </w:footnote>
  <w:footnote w:id="1">
    <w:p>
      <w:pPr>
        <w:pStyle w:val="2"/>
        <w:snapToGrid w:val="0"/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Style w:val="5"/>
        </w:rPr>
        <w:footnoteRef/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重庆医科大学检验医学院 400016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M2VkNThkM2UwOThhZjAxNzhlODVhMjk0MTc5YjgifQ=="/>
  </w:docVars>
  <w:rsids>
    <w:rsidRoot w:val="79B25555"/>
    <w:rsid w:val="14077BCC"/>
    <w:rsid w:val="30A12166"/>
    <w:rsid w:val="60C27517"/>
    <w:rsid w:val="79B2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5">
    <w:name w:val="footnote reference"/>
    <w:basedOn w:val="4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790</Words>
  <Characters>1011</Characters>
  <Lines>0</Lines>
  <Paragraphs>0</Paragraphs>
  <TotalTime>16</TotalTime>
  <ScaleCrop>false</ScaleCrop>
  <LinksUpToDate>false</LinksUpToDate>
  <CharactersWithSpaces>1048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2023-10-07T13:04:00Z</dcterms:created>
  <dc:creator>WPS_1667289749</dc:creator>
  <cp:lastModifiedBy>WPS_1667289749</cp:lastModifiedBy>
  <dcterms:modified xsi:type="dcterms:W3CDTF">2023-10-08T14:33:05Z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9FBC4FE3F213410EBF8DCA638A83D906_11</vt:lpwstr>
  </property>
</Properties>
</file>