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超高效液相色谱-串联质谱检测</w:t>
      </w:r>
      <w:r>
        <w:t>外周血单个核细胞霉酚酸</w:t>
      </w:r>
      <w:r>
        <w:rPr>
          <w:rFonts w:hint="eastAsia"/>
          <w:lang w:val="en-US" w:eastAsia="zh-CN"/>
        </w:rPr>
        <w:t>及代谢产物</w:t>
      </w:r>
      <w:r>
        <w:t>浓度</w:t>
      </w:r>
      <w:r>
        <w:rPr>
          <w:rFonts w:hint="eastAsia"/>
          <w:lang w:val="en-US" w:eastAsia="zh-CN"/>
        </w:rPr>
        <w:t>方法建立及</w:t>
      </w:r>
      <w:r>
        <w:t>在肾移植受者感染中的</w:t>
      </w:r>
      <w:r>
        <w:rPr>
          <w:rFonts w:hint="eastAsia"/>
          <w:lang w:val="en-US" w:eastAsia="zh-CN"/>
        </w:rPr>
        <w:t>临床</w:t>
      </w:r>
      <w:r>
        <w:t>应用</w:t>
      </w:r>
      <w:r>
        <w:rPr>
          <w:rFonts w:hint="eastAsia"/>
          <w:lang w:val="en-US" w:eastAsia="zh-CN"/>
        </w:rPr>
        <w:t>评价</w:t>
      </w:r>
    </w:p>
    <w:p>
      <w:pPr>
        <w:widowControl/>
        <w:spacing w:before="240" w:after="240"/>
        <w:jc w:val="center"/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陈小梅</w:t>
      </w:r>
      <w:bookmarkStart w:id="0" w:name="_GoBack"/>
      <w:bookmarkEnd w:id="0"/>
    </w:p>
    <w:p>
      <w:pPr>
        <w:widowControl/>
        <w:spacing w:before="240" w:after="240"/>
        <w:jc w:val="center"/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四川大学华西医院输血科</w:t>
      </w:r>
    </w:p>
    <w:p>
      <w:pPr>
        <w:pStyle w:val="5"/>
        <w:widowControl/>
        <w:spacing w:before="240" w:after="240"/>
        <w:jc w:val="left"/>
        <w:rPr>
          <w:rStyle w:val="4"/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cs="宋体"/>
          <w:kern w:val="0"/>
          <w:sz w:val="24"/>
          <w:szCs w:val="24"/>
          <w:lang w:val="en-US" w:eastAsia="zh-CN"/>
        </w:rPr>
        <w:t>摘要：</w:t>
      </w:r>
    </w:p>
    <w:p>
      <w:pPr>
        <w:widowControl/>
        <w:spacing w:before="240" w:after="240"/>
        <w:jc w:val="left"/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cs="宋体"/>
          <w:kern w:val="0"/>
          <w:sz w:val="24"/>
          <w:szCs w:val="24"/>
          <w:lang w:val="en-US" w:eastAsia="zh-CN"/>
        </w:rPr>
        <w:t>背景：器官移植受者免疫抑制剂霉酚酸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（</w:t>
      </w:r>
      <w:r>
        <w:rPr>
          <w:rStyle w:val="4"/>
          <w:rFonts w:hint="eastAsia" w:ascii="Times New Roman" w:hAnsi="Times New Roman" w:eastAsia="Times New Roman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auto"/>
        </w:rPr>
        <w:t>Mycophenolic acid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, MPA）</w:t>
      </w:r>
      <w:r>
        <w:rPr>
          <w:rStyle w:val="4"/>
          <w:rFonts w:hint="eastAsia" w:ascii="宋体" w:hAnsi="宋体" w:cs="宋体"/>
          <w:kern w:val="0"/>
          <w:sz w:val="24"/>
          <w:szCs w:val="24"/>
          <w:lang w:val="en-US" w:eastAsia="zh-CN"/>
        </w:rPr>
        <w:t>的临床治疗药物浓度监测指标和方案目前尚未达成共识。本研究拟基于超高效液相色谱串联质谱（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UPLC-MS/MS</w:t>
      </w:r>
      <w:r>
        <w:rPr>
          <w:rStyle w:val="4"/>
          <w:rFonts w:hint="eastAsia" w:ascii="宋体" w:hAnsi="宋体" w:cs="宋体"/>
          <w:kern w:val="0"/>
          <w:sz w:val="24"/>
          <w:szCs w:val="24"/>
          <w:lang w:val="en-US" w:eastAsia="zh-CN"/>
        </w:rPr>
        <w:t>）技术建立外周血单个核细胞（PBMC）中MPA及其代谢产物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霉酚酸羧基丁醇醚（mycophenolic acid carboxybutoxyether, MPAG）、霉酚酸酰基葡糖苷（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acyl glucuronide of mycophenolic acid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, AcMPAG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）浓度的定量测定方法，评估PBMC中MPA、MPAG和AcMPAG浓度检测在肾移植受者术后感染中的临床应用价值。</w:t>
      </w:r>
    </w:p>
    <w:p>
      <w:pPr>
        <w:pStyle w:val="5"/>
        <w:widowControl/>
        <w:spacing w:before="240" w:after="240"/>
        <w:ind w:firstLine="0"/>
        <w:jc w:val="left"/>
        <w:rPr>
          <w:rStyle w:val="4"/>
          <w:rFonts w:eastAsia="Times New Roman" w:cs="Times New Roman"/>
          <w:kern w:val="0"/>
          <w:sz w:val="24"/>
          <w:szCs w:val="24"/>
        </w:rPr>
      </w:pP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方法：1.UPLC-MS/MS法检测PBMC中MPA、MPAG和AcMPAG浓度方法建立和评价：采用Ficoll-Paque溶液分离PBMC，测定细胞数量；乙腈处理蛋白质沉淀提取目标化合物；</w:t>
      </w:r>
      <w:r>
        <w:rPr>
          <w:rStyle w:val="4"/>
          <w:rFonts w:eastAsia="Times New Roman" w:cs="Times New Roman"/>
          <w:kern w:val="0"/>
          <w:sz w:val="24"/>
          <w:szCs w:val="24"/>
        </w:rPr>
        <w:t>使</w:t>
      </w:r>
      <w:r>
        <w:rPr>
          <w:rStyle w:val="4"/>
          <w:rFonts w:hint="eastAsia" w:eastAsia="Times New Roman" w:cs="Times New Roman"/>
          <w:kern w:val="0"/>
          <w:sz w:val="24"/>
          <w:szCs w:val="24"/>
        </w:rPr>
        <w:t xml:space="preserve">用 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Waters ACQUITY UPLC BEH C18色谱柱1.7μm（2.1mm*50mm）和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ACQUITY-Xevo TQ-S UPLC-MS/MS系统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进行检测。</w:t>
      </w:r>
      <w:r>
        <w:rPr>
          <w:rStyle w:val="4"/>
          <w:rFonts w:ascii="Times New Roman" w:hAnsi="Times New Roman" w:eastAsia="Times New Roman" w:cs="Times New Roman"/>
          <w:sz w:val="24"/>
        </w:rPr>
        <w:t>流动相</w:t>
      </w:r>
      <w:r>
        <w:rPr>
          <w:rStyle w:val="4"/>
          <w:rFonts w:hint="eastAsia" w:ascii="Times New Roman" w:hAnsi="Times New Roman" w:eastAsia="Times New Roman" w:cs="Times New Roman"/>
          <w:sz w:val="24"/>
        </w:rPr>
        <w:t>A</w:t>
      </w:r>
      <w:r>
        <w:rPr>
          <w:rStyle w:val="4"/>
          <w:rFonts w:ascii="Times New Roman" w:hAnsi="Times New Roman" w:eastAsia="Times New Roman" w:cs="Times New Roman"/>
          <w:sz w:val="24"/>
        </w:rPr>
        <w:t>为</w:t>
      </w:r>
      <w:r>
        <w:rPr>
          <w:rStyle w:val="4"/>
          <w:rFonts w:hint="eastAsia" w:ascii="Times New Roman" w:hAnsi="Times New Roman" w:eastAsia="Times New Roman" w:cs="Times New Roman"/>
          <w:sz w:val="24"/>
        </w:rPr>
        <w:t>2mmol/L NH4Ac·H2O+0.1%甲酸</w:t>
      </w:r>
      <w:r>
        <w:rPr>
          <w:rStyle w:val="4"/>
          <w:rFonts w:ascii="Times New Roman" w:hAnsi="Times New Roman" w:eastAsia="Times New Roman" w:cs="Times New Roman"/>
          <w:sz w:val="24"/>
        </w:rPr>
        <w:t>；流动相</w:t>
      </w:r>
      <w:r>
        <w:rPr>
          <w:rStyle w:val="4"/>
          <w:rFonts w:hint="eastAsia" w:ascii="Times New Roman" w:hAnsi="Times New Roman" w:eastAsia="Times New Roman" w:cs="Times New Roman"/>
          <w:sz w:val="24"/>
        </w:rPr>
        <w:t>B</w:t>
      </w:r>
      <w:r>
        <w:rPr>
          <w:rStyle w:val="4"/>
          <w:rFonts w:ascii="Times New Roman" w:hAnsi="Times New Roman" w:eastAsia="Times New Roman" w:cs="Times New Roman"/>
          <w:sz w:val="24"/>
        </w:rPr>
        <w:t>为</w:t>
      </w:r>
      <w:r>
        <w:rPr>
          <w:rStyle w:val="4"/>
          <w:rFonts w:hint="eastAsia" w:ascii="Times New Roman" w:hAnsi="Times New Roman" w:eastAsia="Times New Roman" w:cs="Times New Roman"/>
          <w:sz w:val="24"/>
        </w:rPr>
        <w:t>2mmol/L NH4Ac·CH3OH+0.1%甲酸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，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lang w:val="en-US" w:eastAsia="zh-CN"/>
        </w:rPr>
        <w:t>流速0.3ml/min，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经梯度洗脱后，样品经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电喷雾正离子源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（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ESI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）正离子化后，通过三重四级杆串联质谱仪，在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多反应监测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（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MRM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）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</w:rPr>
        <w:t>模式下进行定量</w:t>
      </w:r>
      <w:r>
        <w:rPr>
          <w:rStyle w:val="4"/>
          <w:rFonts w:ascii="Times New Roman" w:hAnsi="Times New Roman" w:eastAsia="Times New Roman" w:cs="Times New Roman"/>
          <w:kern w:val="0"/>
          <w:sz w:val="24"/>
        </w:rPr>
        <w:t>分析。</w:t>
      </w:r>
      <w:r>
        <w:rPr>
          <w:rStyle w:val="4"/>
          <w:rFonts w:eastAsia="Times New Roman" w:cs="Times New Roman"/>
          <w:kern w:val="0"/>
          <w:sz w:val="24"/>
          <w:szCs w:val="24"/>
        </w:rPr>
        <w:t>根据相关指南要求，通过一系列验证实验对所建立的方法进行性能评价。</w:t>
      </w:r>
    </w:p>
    <w:p>
      <w:pPr>
        <w:pStyle w:val="5"/>
        <w:widowControl/>
        <w:spacing w:before="0" w:after="0"/>
        <w:ind w:firstLine="0"/>
        <w:jc w:val="left"/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Style w:val="4"/>
          <w:rFonts w:hint="eastAsia" w:ascii="Times New Roman" w:hAnsi="Times New Roman" w:eastAsia="Times New Roman" w:cs="Times New Roman"/>
          <w:b w:val="0"/>
          <w:kern w:val="0"/>
          <w:sz w:val="24"/>
          <w:szCs w:val="24"/>
          <w:lang w:val="en-US" w:eastAsia="zh-CN"/>
        </w:rPr>
        <w:t>肾移植受者</w:t>
      </w:r>
      <w:r>
        <w:rPr>
          <w:rStyle w:val="4"/>
          <w:rFonts w:hint="default" w:ascii="Times New Roman" w:hAnsi="Times New Roman" w:eastAsia="Times New Roman" w:cs="Times New Roman"/>
          <w:b w:val="0"/>
          <w:kern w:val="0"/>
          <w:sz w:val="24"/>
          <w:szCs w:val="24"/>
          <w:lang w:val="en-US" w:eastAsia="zh-CN"/>
        </w:rPr>
        <w:t>PBMC-MPA及代谢物浓度测定</w:t>
      </w:r>
      <w:r>
        <w:rPr>
          <w:rStyle w:val="4"/>
          <w:rFonts w:hint="eastAsia" w:ascii="Times New Roman" w:hAnsi="Times New Roman" w:eastAsia="宋体" w:cs="Times New Roman"/>
          <w:b w:val="0"/>
          <w:kern w:val="0"/>
          <w:sz w:val="24"/>
          <w:lang w:eastAsia="zh-CN"/>
        </w:rPr>
        <w:t>：</w:t>
      </w:r>
      <w:r>
        <w:rPr>
          <w:rStyle w:val="4"/>
          <w:rFonts w:hint="eastAsia" w:ascii="Times New Roman" w:hAnsi="Times New Roman" w:eastAsia="宋体" w:cs="Times New Roman"/>
          <w:b w:val="0"/>
          <w:kern w:val="0"/>
          <w:sz w:val="24"/>
          <w:lang w:val="en-US" w:eastAsia="zh-CN"/>
        </w:rPr>
        <w:t>纳入在2022年8月至2022年11月于四川大学华西医院就诊的基本情况稳定的肾移植受者7例和出现感染的肾移植受者8例。采集肾移植受者外周血样本，使用上述方法检测PBMC中MPA、MPAG、AcMPAG浓度并评价其在肾移植受者感染预测和监测中的临床应用价值。</w:t>
      </w:r>
    </w:p>
    <w:p>
      <w:pPr>
        <w:pStyle w:val="5"/>
        <w:widowControl/>
        <w:spacing w:before="240" w:after="240"/>
        <w:ind w:firstLine="0"/>
        <w:jc w:val="left"/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</w:pP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结果：</w:t>
      </w:r>
      <w:r>
        <w:rPr>
          <w:rStyle w:val="4"/>
          <w:rFonts w:eastAsia="宋体" w:cs="Times New Roman"/>
          <w:kern w:val="0"/>
          <w:sz w:val="24"/>
          <w:szCs w:val="24"/>
        </w:rPr>
        <w:t>经过方法学验证，本研究建立的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</w:rPr>
        <w:t>UPLC-MS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/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</w:rPr>
        <w:t>MS测定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PBMC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中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MPA、MPAG和AcMPAG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浓度的方法在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0.0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625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-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50ng/ml、0.5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-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50ng/ml和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0.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1</w:t>
      </w:r>
      <w:r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-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20ng/ml</w:t>
      </w:r>
      <w:r>
        <w:rPr>
          <w:rStyle w:val="4"/>
          <w:rFonts w:hint="eastAsia" w:eastAsia="宋体" w:cs="Times New Roman"/>
          <w:kern w:val="0"/>
          <w:sz w:val="24"/>
          <w:szCs w:val="24"/>
        </w:rPr>
        <w:t>定量范围内</w:t>
      </w:r>
      <w:r>
        <w:rPr>
          <w:rStyle w:val="4"/>
          <w:rFonts w:eastAsia="宋体" w:cs="Times New Roman"/>
          <w:kern w:val="0"/>
          <w:sz w:val="24"/>
          <w:szCs w:val="24"/>
        </w:rPr>
        <w:t>线性良好，选择性、特异性、</w:t>
      </w:r>
      <w:r>
        <w:rPr>
          <w:rStyle w:val="4"/>
          <w:rFonts w:hint="eastAsia" w:eastAsia="宋体" w:cs="Times New Roman"/>
          <w:kern w:val="0"/>
          <w:sz w:val="24"/>
          <w:szCs w:val="24"/>
        </w:rPr>
        <w:t>基质效应</w:t>
      </w:r>
      <w:r>
        <w:rPr>
          <w:rStyle w:val="4"/>
          <w:rFonts w:eastAsia="宋体" w:cs="Times New Roman"/>
          <w:kern w:val="0"/>
          <w:sz w:val="24"/>
          <w:szCs w:val="24"/>
        </w:rPr>
        <w:t>、</w:t>
      </w:r>
      <w:r>
        <w:rPr>
          <w:rStyle w:val="4"/>
          <w:rFonts w:hint="eastAsia" w:eastAsia="宋体" w:cs="Times New Roman"/>
          <w:kern w:val="0"/>
          <w:sz w:val="24"/>
          <w:szCs w:val="24"/>
        </w:rPr>
        <w:t>携带污染</w:t>
      </w:r>
      <w:r>
        <w:rPr>
          <w:rStyle w:val="4"/>
          <w:rFonts w:eastAsia="宋体" w:cs="Times New Roman"/>
          <w:kern w:val="0"/>
          <w:sz w:val="24"/>
          <w:szCs w:val="24"/>
        </w:rPr>
        <w:t>、</w:t>
      </w:r>
      <w:r>
        <w:rPr>
          <w:rStyle w:val="4"/>
          <w:rFonts w:hint="eastAsia" w:eastAsia="宋体" w:cs="Times New Roman"/>
          <w:kern w:val="0"/>
          <w:sz w:val="24"/>
          <w:szCs w:val="24"/>
        </w:rPr>
        <w:t>重复性</w:t>
      </w:r>
      <w:r>
        <w:rPr>
          <w:rStyle w:val="4"/>
          <w:rFonts w:eastAsia="宋体" w:cs="Times New Roman"/>
          <w:kern w:val="0"/>
          <w:sz w:val="24"/>
          <w:szCs w:val="24"/>
        </w:rPr>
        <w:t>、精密度、准确度均符合要求。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PBMC中AcMPAG稳定性欠佳，-80℃储存24h、冻融3个循环后出现明显降解。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肾移植受者PBMCs中MPA及MPAG浓度存在较大的变异，且与血浆MPA浓度相关性差(rs=0.206,p=0.117)。感染组肾移植受者服药后2h和4h时PBMCs中MPA的浓度显著高于稳定组肾移植受者（p&lt;0.05）。肾移植受者PBMCAcMPAG浓度极低，几乎无法检出。</w:t>
      </w:r>
    </w:p>
    <w:p>
      <w:pPr>
        <w:pStyle w:val="5"/>
        <w:widowControl/>
        <w:spacing w:before="240" w:after="240"/>
        <w:ind w:firstLine="0"/>
        <w:jc w:val="left"/>
        <w:rPr>
          <w:rStyle w:val="4"/>
          <w:rFonts w:hint="default" w:ascii="Times New Roman" w:hAnsi="Times New Roman" w:eastAsia="Times New Roman" w:cs="Times New Roman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结论：</w:t>
      </w:r>
      <w:r>
        <w:rPr>
          <w:rStyle w:val="4"/>
          <w:rFonts w:eastAsia="Times New Roman" w:cs="Times New Roman"/>
          <w:kern w:val="0"/>
          <w:sz w:val="24"/>
          <w:szCs w:val="24"/>
        </w:rPr>
        <w:t>本研究建立并验证了基于超高效液相色谱</w:t>
      </w:r>
      <w:r>
        <w:rPr>
          <w:rStyle w:val="4"/>
          <w:rFonts w:hint="eastAsia" w:eastAsia="Times New Roman" w:cs="Times New Roman"/>
          <w:kern w:val="0"/>
          <w:sz w:val="24"/>
          <w:szCs w:val="24"/>
        </w:rPr>
        <w:t>-串联质谱法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（UPLC-MS/MS）</w:t>
      </w:r>
      <w:r>
        <w:rPr>
          <w:rStyle w:val="4"/>
          <w:rFonts w:eastAsia="Times New Roman" w:cs="Times New Roman"/>
          <w:kern w:val="0"/>
          <w:sz w:val="24"/>
          <w:szCs w:val="24"/>
        </w:rPr>
        <w:t>同时</w:t>
      </w:r>
      <w:r>
        <w:rPr>
          <w:rStyle w:val="4"/>
          <w:rFonts w:hint="eastAsia" w:eastAsia="Times New Roman" w:cs="Times New Roman"/>
          <w:kern w:val="0"/>
          <w:sz w:val="24"/>
          <w:szCs w:val="24"/>
        </w:rPr>
        <w:t>检测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PBMC中MPA、MPAG和AcMPAG浓度的方法，该方法操作简便、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稳定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性好，为临床PBMC-MPA、MPAG和AcMPAG浓度检测提供了可靠的分析方法。肾移植受者PBMC</w:t>
      </w:r>
      <w:r>
        <w:rPr>
          <w:rStyle w:val="4"/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中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</w:rPr>
        <w:t>MPA、MPAG浓</w:t>
      </w:r>
      <w:r>
        <w:rPr>
          <w:rStyle w:val="4"/>
          <w:rFonts w:eastAsia="Times New Roman" w:cs="Times New Roman"/>
          <w:kern w:val="0"/>
          <w:sz w:val="24"/>
          <w:szCs w:val="24"/>
        </w:rPr>
        <w:t>度存在较大变异，且</w:t>
      </w:r>
      <w:r>
        <w:rPr>
          <w:rStyle w:val="4"/>
          <w:rFonts w:hint="eastAsia" w:ascii="Times New Roman" w:hAnsi="Times New Roman" w:eastAsia="Times New Roman" w:cs="Times New Roman"/>
          <w:kern w:val="0"/>
          <w:sz w:val="24"/>
          <w:szCs w:val="24"/>
          <w:lang w:val="en-US" w:eastAsia="zh-CN"/>
        </w:rPr>
        <w:t>与肾移植术后感染的发生密切相关。监测PBMCs中MPA、MPAG可能成为肾移植受者霉酚酸治疗药物浓度监测的有用指标。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YjAzZWQ1N2M2NTI4YTZmOTIzYWNlNDkwMzNkZTUifQ=="/>
  </w:docVars>
  <w:rsids>
    <w:rsidRoot w:val="4A4F4FC8"/>
    <w:rsid w:val="0CDE3415"/>
    <w:rsid w:val="4A4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MsoNormal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2023-10-08T01:22:00Z</dcterms:created>
  <dc:creator>670200106qqcom</dc:creator>
  <cp:lastModifiedBy>cose</cp:lastModifiedBy>
  <dcterms:modified xsi:type="dcterms:W3CDTF">2023-10-09T15:23:56Z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5829D9A4DE8146D5AFEEFCE298A1DCF6_11</vt:lpwstr>
  </property>
</Properties>
</file>