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231F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231F20"/>
          <w:kern w:val="0"/>
          <w:sz w:val="32"/>
          <w:szCs w:val="32"/>
          <w:lang w:val="en-US" w:eastAsia="zh-CN" w:bidi="ar"/>
        </w:rPr>
        <w:t>某三甲医院输血科2018-2022年血液治疗开展情况分析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>黄晏军 杨香香（南充市中心医院输血科 四川 南充 637000）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摘要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目的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了解本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医院2018-2022年血液治疗开展情况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分析临床血液治疗开展特点，总结输血科开展血液治疗经验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。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方法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：将血液治疗分为红细胞深度单采、血浆置换、富血小板血浆（PRP）三类，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汇总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2018-2022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本院各血液治疗类型开展数据。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结果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（1）2018-2022年5年间，红细胞深度单采分别为6、18、79、412、224例，单采红细胞总量分别为24U、72U、231U、880U、454U。红细胞深度单采前三科室分别为胸外科、口腔颌面外科、妇科。（2）5年间血浆置换分别为6、35、109、115、87例，血浆换出总量分别为12000ml、72300ml、227000ml、238600ml、180600ml。血浆置换开展前三科室分别为肾内科、ICU、消化内科。使用血浆置换技术的疾病主要为肝衰竭、重症胰腺炎、自身免疫性疾病等等。（3）5年间富血小板血浆（PRP）分别为1、4、5、8、3例，富血小板血浆采集总量分别为50ml、300ml、450ml、550ml、150ml。PRP技术主要应用在妇科和皮肤科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结论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：本院血液治疗开展情况较理想，开展患者病例数逐年上升（2022年因本地区出现几轮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新冠疫情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除外），但血液治疗开展仍然有较大进步空间。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jhlODhkM2FhYmNhNmQyOTczNzMwMmYxNDYyMzIifQ=="/>
  </w:docVars>
  <w:rsids>
    <w:rsidRoot w:val="40787CCF"/>
    <w:rsid w:val="40787CCF"/>
    <w:rsid w:val="6A4F2DA7"/>
    <w:rsid w:val="6B8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2023-10-09T13:52:00Z</dcterms:created>
  <dc:creator>chis</dc:creator>
  <cp:lastModifiedBy>Administrator</cp:lastModifiedBy>
  <dcterms:modified xsi:type="dcterms:W3CDTF">2023-10-09T15:07:18Z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0BB335A33A814A879086A80EE80CA843</vt:lpwstr>
  </property>
</Properties>
</file>