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hint="eastAsia" w:ascii="Times New Roman" w:hAnsi="Times New Roman" w:eastAsia="楷体" w:cs="楷体"/>
          <w:b/>
          <w:bCs/>
          <w:color w:val="auto"/>
          <w:sz w:val="28"/>
          <w:szCs w:val="28"/>
          <w:highlight w:val="none"/>
          <w:lang w:val="en-US" w:eastAsia="zh-CN"/>
        </w:rPr>
      </w:pPr>
      <w:r>
        <w:rPr>
          <w:rFonts w:hint="eastAsia" w:ascii="Times New Roman" w:hAnsi="Times New Roman" w:eastAsia="楷体" w:cs="楷体"/>
          <w:b/>
          <w:bCs/>
          <w:color w:val="auto"/>
          <w:sz w:val="28"/>
          <w:szCs w:val="28"/>
          <w:highlight w:val="none"/>
          <w:lang w:val="en-US" w:eastAsia="zh-CN"/>
        </w:rPr>
        <w:t>富血小板血浆联合米诺地尔酊治疗雄激素性脱发的病例研究</w:t>
      </w:r>
    </w:p>
    <w:p>
      <w:pPr>
        <w:spacing w:line="360" w:lineRule="auto"/>
        <w:ind w:firstLine="0" w:firstLineChars="0"/>
        <w:jc w:val="center"/>
        <w:rPr>
          <w:rFonts w:hint="eastAsia" w:ascii="Times New Roman" w:hAnsi="Times New Roman" w:eastAsia="楷体" w:cs="楷体"/>
          <w:b/>
          <w:bCs/>
          <w:color w:val="auto"/>
          <w:sz w:val="21"/>
          <w:szCs w:val="21"/>
          <w:highlight w:val="none"/>
          <w:lang w:val="en-US" w:eastAsia="zh-CN"/>
        </w:rPr>
      </w:pPr>
      <w:r>
        <w:rPr>
          <w:rFonts w:hint="eastAsia" w:ascii="Times New Roman" w:hAnsi="Times New Roman" w:eastAsia="楷体" w:cs="楷体"/>
          <w:b/>
          <w:bCs/>
          <w:color w:val="auto"/>
          <w:sz w:val="21"/>
          <w:szCs w:val="21"/>
          <w:highlight w:val="none"/>
          <w:lang w:val="en-US" w:eastAsia="zh-CN"/>
        </w:rPr>
        <w:t>李进 冯芝 邹刊 袁朋超 康海叶 董念</w:t>
      </w:r>
    </w:p>
    <w:p>
      <w:pPr>
        <w:spacing w:line="360" w:lineRule="auto"/>
        <w:ind w:firstLine="0" w:firstLineChars="0"/>
        <w:jc w:val="center"/>
        <w:rPr>
          <w:rFonts w:hint="default" w:ascii="Times New Roman" w:hAnsi="Times New Roman" w:eastAsia="楷体" w:cs="楷体"/>
          <w:b/>
          <w:bCs/>
          <w:color w:val="auto"/>
          <w:sz w:val="28"/>
          <w:szCs w:val="28"/>
          <w:highlight w:val="none"/>
          <w:lang w:val="en-US" w:eastAsia="zh-CN"/>
        </w:rPr>
      </w:pPr>
      <w:r>
        <w:rPr>
          <w:rFonts w:hint="eastAsia" w:ascii="Times New Roman" w:hAnsi="Times New Roman" w:eastAsia="楷体" w:cs="楷体"/>
          <w:b/>
          <w:bCs/>
          <w:color w:val="auto"/>
          <w:sz w:val="21"/>
          <w:szCs w:val="21"/>
          <w:highlight w:val="none"/>
          <w:lang w:val="en-US" w:eastAsia="zh-CN"/>
        </w:rPr>
        <w:t>（单位：古蔺县人民医院；邮政编码：646500）</w:t>
      </w:r>
    </w:p>
    <w:p>
      <w:pPr>
        <w:spacing w:line="360" w:lineRule="auto"/>
        <w:ind w:firstLine="0" w:firstLineChars="0"/>
        <w:rPr>
          <w:rFonts w:hint="eastAsia" w:ascii="Times New Roman" w:hAnsi="Times New Roman" w:eastAsia="楷体" w:cs="楷体"/>
          <w:b/>
          <w:bCs/>
          <w:color w:val="auto"/>
          <w:sz w:val="24"/>
          <w:highlight w:val="none"/>
          <w:lang w:val="en-US" w:eastAsia="zh-CN"/>
        </w:rPr>
      </w:pPr>
      <w:r>
        <w:rPr>
          <w:rFonts w:hint="eastAsia" w:ascii="Times New Roman" w:hAnsi="Times New Roman" w:eastAsia="楷体" w:cs="楷体"/>
          <w:b/>
          <w:bCs/>
          <w:color w:val="auto"/>
          <w:sz w:val="24"/>
          <w:highlight w:val="none"/>
          <w:lang w:val="en-US" w:eastAsia="zh-CN"/>
        </w:rPr>
        <w:t>摘要</w:t>
      </w:r>
    </w:p>
    <w:p>
      <w:pPr>
        <w:spacing w:line="360" w:lineRule="auto"/>
        <w:rPr>
          <w:rFonts w:hint="default" w:ascii="Times New Roman" w:hAnsi="Times New Roman" w:eastAsia="楷体" w:cs="楷体"/>
          <w:color w:val="auto"/>
          <w:sz w:val="24"/>
          <w:highlight w:val="none"/>
          <w:lang w:val="en-US" w:eastAsia="zh-CN"/>
        </w:rPr>
      </w:pPr>
      <w:r>
        <w:rPr>
          <w:rFonts w:hint="eastAsia" w:ascii="Times New Roman" w:hAnsi="Times New Roman" w:eastAsia="楷体" w:cs="楷体"/>
          <w:b/>
          <w:bCs/>
          <w:color w:val="auto"/>
          <w:sz w:val="24"/>
          <w:highlight w:val="none"/>
          <w:lang w:val="en-US" w:eastAsia="zh-CN"/>
        </w:rPr>
        <w:t>目的</w:t>
      </w:r>
      <w:r>
        <w:rPr>
          <w:rFonts w:hint="default" w:ascii="Times New Roman" w:hAnsi="Times New Roman" w:eastAsia="楷体" w:cs="楷体"/>
          <w:b/>
          <w:bCs/>
          <w:color w:val="auto"/>
          <w:sz w:val="24"/>
          <w:highlight w:val="none"/>
          <w:lang w:val="en-US" w:eastAsia="zh-CN"/>
        </w:rPr>
        <w:t>：</w:t>
      </w:r>
      <w:r>
        <w:rPr>
          <w:rFonts w:hint="eastAsia" w:ascii="Times New Roman" w:hAnsi="Times New Roman" w:eastAsia="楷体" w:cs="楷体"/>
          <w:sz w:val="24"/>
          <w:szCs w:val="24"/>
        </w:rPr>
        <w:t>雄激素性脱发( androgenetic alopecia，AGA)</w:t>
      </w:r>
      <w:r>
        <w:rPr>
          <w:rFonts w:hint="default" w:ascii="Times New Roman" w:hAnsi="Times New Roman" w:eastAsia="楷体" w:cs="楷体"/>
          <w:color w:val="auto"/>
          <w:sz w:val="24"/>
          <w:highlight w:val="none"/>
          <w:lang w:val="en-US" w:eastAsia="zh-CN"/>
        </w:rPr>
        <w:t>是一种常见的遗传性疾病，</w:t>
      </w:r>
      <w:r>
        <w:rPr>
          <w:rFonts w:hint="eastAsia" w:ascii="Times New Roman" w:hAnsi="Times New Roman" w:eastAsia="楷体" w:cs="楷体"/>
          <w:color w:val="auto"/>
          <w:sz w:val="24"/>
          <w:highlight w:val="none"/>
          <w:lang w:val="en-US" w:eastAsia="zh-CN"/>
        </w:rPr>
        <w:t>其主要</w:t>
      </w:r>
      <w:r>
        <w:rPr>
          <w:rFonts w:hint="default" w:ascii="Times New Roman" w:hAnsi="Times New Roman" w:eastAsia="楷体" w:cs="楷体"/>
          <w:color w:val="auto"/>
          <w:sz w:val="24"/>
          <w:highlight w:val="none"/>
          <w:lang w:val="en-US" w:eastAsia="zh-CN"/>
        </w:rPr>
        <w:t>特征</w:t>
      </w:r>
      <w:r>
        <w:rPr>
          <w:rFonts w:hint="eastAsia" w:ascii="Times New Roman" w:hAnsi="Times New Roman" w:eastAsia="楷体" w:cs="楷体"/>
          <w:color w:val="auto"/>
          <w:sz w:val="24"/>
          <w:highlight w:val="none"/>
          <w:lang w:val="en-US" w:eastAsia="zh-CN"/>
        </w:rPr>
        <w:t>是头发减少、</w:t>
      </w:r>
      <w:r>
        <w:rPr>
          <w:rFonts w:hint="default" w:ascii="Times New Roman" w:hAnsi="Times New Roman" w:eastAsia="楷体" w:cs="楷体"/>
          <w:color w:val="auto"/>
          <w:sz w:val="24"/>
          <w:highlight w:val="none"/>
          <w:lang w:val="en-US" w:eastAsia="zh-CN"/>
        </w:rPr>
        <w:t>毛囊萎缩。</w:t>
      </w:r>
      <w:r>
        <w:rPr>
          <w:rFonts w:hint="eastAsia" w:ascii="Times New Roman" w:hAnsi="Times New Roman" w:eastAsia="楷体" w:cs="楷体"/>
          <w:color w:val="auto"/>
          <w:sz w:val="24"/>
          <w:highlight w:val="none"/>
          <w:lang w:val="en-US" w:eastAsia="zh-CN"/>
        </w:rPr>
        <w:t>现有的</w:t>
      </w:r>
      <w:r>
        <w:rPr>
          <w:rFonts w:hint="default" w:ascii="Times New Roman" w:hAnsi="Times New Roman" w:eastAsia="楷体" w:cs="楷体"/>
          <w:color w:val="auto"/>
          <w:sz w:val="24"/>
          <w:highlight w:val="none"/>
          <w:lang w:val="en-US" w:eastAsia="zh-CN"/>
        </w:rPr>
        <w:t>治疗技术</w:t>
      </w:r>
      <w:r>
        <w:rPr>
          <w:rFonts w:hint="eastAsia" w:ascii="Times New Roman" w:hAnsi="Times New Roman" w:eastAsia="楷体" w:cs="楷体"/>
          <w:color w:val="auto"/>
          <w:sz w:val="24"/>
          <w:highlight w:val="none"/>
          <w:lang w:val="en-US" w:eastAsia="zh-CN"/>
        </w:rPr>
        <w:t>主要有</w:t>
      </w:r>
      <w:r>
        <w:rPr>
          <w:rFonts w:hint="eastAsia" w:ascii="Times New Roman" w:hAnsi="Times New Roman" w:eastAsia="楷体" w:cs="楷体"/>
          <w:sz w:val="24"/>
          <w:szCs w:val="24"/>
          <w:lang w:val="en-US" w:eastAsia="zh-CN"/>
        </w:rPr>
        <w:t>外用米诺地尔酊、口服非那雄胺和低能量光疗。由于治疗方案的局限性，治疗效果并不明显、</w:t>
      </w:r>
      <w:r>
        <w:rPr>
          <w:rFonts w:hint="default" w:ascii="Times New Roman" w:hAnsi="Times New Roman" w:eastAsia="楷体" w:cs="楷体"/>
          <w:color w:val="auto"/>
          <w:sz w:val="24"/>
          <w:highlight w:val="none"/>
          <w:lang w:val="en-US" w:eastAsia="zh-CN"/>
        </w:rPr>
        <w:t>患者的满意度低</w:t>
      </w:r>
      <w:r>
        <w:rPr>
          <w:rFonts w:hint="eastAsia" w:ascii="Times New Roman" w:hAnsi="Times New Roman" w:eastAsia="楷体" w:cs="楷体"/>
          <w:color w:val="auto"/>
          <w:sz w:val="24"/>
          <w:highlight w:val="none"/>
          <w:lang w:val="en-US" w:eastAsia="zh-CN"/>
        </w:rPr>
        <w:t>，</w:t>
      </w:r>
      <w:r>
        <w:rPr>
          <w:rFonts w:hint="eastAsia" w:ascii="Times New Roman" w:hAnsi="Times New Roman" w:eastAsia="楷体" w:cs="楷体"/>
          <w:sz w:val="24"/>
          <w:szCs w:val="24"/>
          <w:lang w:val="en-US" w:eastAsia="zh-CN"/>
        </w:rPr>
        <w:t>临床仍需新的有效安全的治疗AGA</w:t>
      </w:r>
      <w:r>
        <w:rPr>
          <w:rFonts w:hint="default" w:ascii="Times New Roman" w:hAnsi="Times New Roman" w:eastAsia="楷体" w:cs="楷体"/>
          <w:color w:val="auto"/>
          <w:sz w:val="24"/>
          <w:highlight w:val="none"/>
          <w:lang w:val="en-US" w:eastAsia="zh-CN"/>
        </w:rPr>
        <w:t>的治疗方案</w:t>
      </w:r>
      <w:r>
        <w:rPr>
          <w:rFonts w:hint="eastAsia" w:ascii="Times New Roman" w:hAnsi="Times New Roman" w:eastAsia="楷体" w:cs="楷体"/>
          <w:sz w:val="24"/>
          <w:szCs w:val="24"/>
          <w:lang w:val="en-US" w:eastAsia="zh-CN"/>
        </w:rPr>
        <w:t>。</w:t>
      </w:r>
      <w:r>
        <w:rPr>
          <w:rFonts w:hint="eastAsia" w:ascii="Times New Roman" w:hAnsi="Times New Roman" w:eastAsia="楷体" w:cs="楷体"/>
          <w:color w:val="000000" w:themeColor="text1"/>
          <w:sz w:val="24"/>
          <w:szCs w:val="24"/>
          <w:lang w:val="en-US" w:eastAsia="zh-CN"/>
          <w14:textFill>
            <w14:solidFill>
              <w14:schemeClr w14:val="tx1"/>
            </w14:solidFill>
          </w14:textFill>
        </w:rPr>
        <w:t>富血小板血浆（Platelet-rich plasma，PRP）</w:t>
      </w:r>
      <w:r>
        <w:rPr>
          <w:rFonts w:hint="default" w:ascii="Times New Roman" w:hAnsi="Times New Roman" w:eastAsia="楷体" w:cs="楷体"/>
          <w:color w:val="auto"/>
          <w:sz w:val="24"/>
          <w:highlight w:val="none"/>
          <w:lang w:val="en-US" w:eastAsia="zh-CN"/>
        </w:rPr>
        <w:t>是一种具有组织修复作用的自体浓缩血小板，</w:t>
      </w:r>
      <w:r>
        <w:rPr>
          <w:rFonts w:hint="eastAsia" w:ascii="Times New Roman" w:hAnsi="Times New Roman" w:eastAsia="楷体" w:cs="楷体"/>
          <w:color w:val="auto"/>
          <w:sz w:val="24"/>
          <w:highlight w:val="none"/>
          <w:lang w:val="en-US" w:eastAsia="zh-CN"/>
        </w:rPr>
        <w:t>使用自体PRP治疗AGA</w:t>
      </w:r>
      <w:r>
        <w:rPr>
          <w:rFonts w:hint="default" w:ascii="Times New Roman" w:hAnsi="Times New Roman" w:eastAsia="楷体" w:cs="楷体"/>
          <w:color w:val="auto"/>
          <w:sz w:val="24"/>
          <w:highlight w:val="none"/>
          <w:lang w:val="en-US" w:eastAsia="zh-CN"/>
        </w:rPr>
        <w:t>受到</w:t>
      </w:r>
      <w:r>
        <w:rPr>
          <w:rFonts w:hint="eastAsia" w:ascii="Times New Roman" w:hAnsi="Times New Roman" w:eastAsia="楷体" w:cs="楷体"/>
          <w:color w:val="auto"/>
          <w:sz w:val="24"/>
          <w:highlight w:val="none"/>
          <w:lang w:val="en-US" w:eastAsia="zh-CN"/>
        </w:rPr>
        <w:t>广泛</w:t>
      </w:r>
      <w:r>
        <w:rPr>
          <w:rFonts w:hint="default" w:ascii="Times New Roman" w:hAnsi="Times New Roman" w:eastAsia="楷体" w:cs="楷体"/>
          <w:color w:val="auto"/>
          <w:sz w:val="24"/>
          <w:highlight w:val="none"/>
          <w:lang w:val="en-US" w:eastAsia="zh-CN"/>
        </w:rPr>
        <w:t>的关注。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楷体" w:cs="楷体"/>
          <w:color w:val="auto"/>
          <w:sz w:val="24"/>
          <w:highlight w:val="none"/>
          <w:lang w:val="en-US" w:eastAsia="zh-CN"/>
        </w:rPr>
      </w:pPr>
      <w:r>
        <w:rPr>
          <w:rFonts w:hint="default" w:ascii="Times New Roman" w:hAnsi="Times New Roman" w:eastAsia="楷体" w:cs="楷体"/>
          <w:b/>
          <w:bCs/>
          <w:color w:val="auto"/>
          <w:sz w:val="24"/>
          <w:highlight w:val="none"/>
          <w:lang w:val="en-US" w:eastAsia="zh-CN"/>
        </w:rPr>
        <w:t>方法：</w:t>
      </w:r>
      <w:r>
        <w:rPr>
          <w:rFonts w:hint="default" w:ascii="Times New Roman" w:hAnsi="Times New Roman" w:eastAsia="楷体" w:cs="楷体"/>
          <w:color w:val="auto"/>
          <w:sz w:val="24"/>
          <w:highlight w:val="none"/>
          <w:lang w:val="en-US" w:eastAsia="zh-CN"/>
        </w:rPr>
        <w:t>本研究共</w:t>
      </w:r>
      <w:r>
        <w:rPr>
          <w:rFonts w:hint="eastAsia" w:ascii="Times New Roman" w:hAnsi="Times New Roman" w:eastAsia="楷体" w:cs="楷体"/>
          <w:color w:val="auto"/>
          <w:sz w:val="24"/>
          <w:highlight w:val="none"/>
          <w:lang w:val="en-US" w:eastAsia="zh-CN"/>
        </w:rPr>
        <w:t>收集9</w:t>
      </w:r>
      <w:r>
        <w:rPr>
          <w:rFonts w:hint="default" w:ascii="Times New Roman" w:hAnsi="Times New Roman" w:eastAsia="楷体" w:cs="楷体"/>
          <w:color w:val="auto"/>
          <w:sz w:val="24"/>
          <w:highlight w:val="none"/>
          <w:lang w:val="en-US" w:eastAsia="zh-CN"/>
        </w:rPr>
        <w:t>例</w:t>
      </w:r>
      <w:r>
        <w:rPr>
          <w:rFonts w:hint="eastAsia" w:ascii="Times New Roman" w:hAnsi="Times New Roman" w:eastAsia="楷体" w:cs="楷体"/>
          <w:color w:val="auto"/>
          <w:sz w:val="24"/>
          <w:highlight w:val="none"/>
          <w:lang w:val="en-US" w:eastAsia="zh-CN"/>
        </w:rPr>
        <w:t>男性雄激素性脱发</w:t>
      </w:r>
      <w:r>
        <w:rPr>
          <w:rFonts w:hint="default" w:ascii="Times New Roman" w:hAnsi="Times New Roman" w:eastAsia="楷体" w:cs="楷体"/>
          <w:color w:val="auto"/>
          <w:sz w:val="24"/>
          <w:highlight w:val="none"/>
          <w:lang w:val="en-US" w:eastAsia="zh-CN"/>
        </w:rPr>
        <w:t>患者。</w:t>
      </w:r>
      <w:r>
        <w:rPr>
          <w:rFonts w:hint="eastAsia" w:ascii="Times New Roman" w:hAnsi="Times New Roman" w:eastAsia="楷体" w:cs="楷体"/>
          <w:color w:val="auto"/>
          <w:sz w:val="24"/>
          <w:highlight w:val="none"/>
          <w:lang w:val="en-US" w:eastAsia="zh-CN"/>
        </w:rPr>
        <w:t>9</w:t>
      </w:r>
      <w:r>
        <w:rPr>
          <w:rFonts w:hint="default" w:ascii="Times New Roman" w:hAnsi="Times New Roman" w:eastAsia="楷体" w:cs="楷体"/>
          <w:color w:val="auto"/>
          <w:sz w:val="24"/>
          <w:highlight w:val="none"/>
          <w:lang w:val="en-US" w:eastAsia="zh-CN"/>
        </w:rPr>
        <w:t>例</w:t>
      </w:r>
      <w:r>
        <w:rPr>
          <w:rFonts w:hint="eastAsia" w:ascii="Times New Roman" w:hAnsi="Times New Roman" w:eastAsia="楷体" w:cs="楷体"/>
          <w:color w:val="auto"/>
          <w:sz w:val="24"/>
          <w:highlight w:val="none"/>
          <w:lang w:val="en-US" w:eastAsia="zh-CN"/>
        </w:rPr>
        <w:t>患者</w:t>
      </w:r>
      <w:r>
        <w:rPr>
          <w:rFonts w:hint="default" w:ascii="Times New Roman" w:hAnsi="Times New Roman" w:eastAsia="楷体" w:cs="楷体"/>
          <w:color w:val="auto"/>
          <w:sz w:val="24"/>
          <w:highlight w:val="none"/>
          <w:lang w:val="en-US" w:eastAsia="zh-CN"/>
        </w:rPr>
        <w:t>制备</w:t>
      </w:r>
      <w:r>
        <w:rPr>
          <w:rFonts w:hint="eastAsia" w:ascii="Times New Roman" w:hAnsi="Times New Roman" w:eastAsia="楷体" w:cs="楷体"/>
          <w:color w:val="auto"/>
          <w:sz w:val="24"/>
          <w:highlight w:val="none"/>
          <w:lang w:val="en-US" w:eastAsia="zh-CN"/>
        </w:rPr>
        <w:t>自体</w:t>
      </w:r>
      <w:r>
        <w:rPr>
          <w:rFonts w:hint="default" w:ascii="Times New Roman" w:hAnsi="Times New Roman" w:eastAsia="楷体" w:cs="楷体"/>
          <w:color w:val="auto"/>
          <w:sz w:val="24"/>
          <w:highlight w:val="none"/>
          <w:lang w:val="en-US" w:eastAsia="zh-CN"/>
        </w:rPr>
        <w:t>PRP</w:t>
      </w:r>
      <w:r>
        <w:rPr>
          <w:rFonts w:hint="eastAsia" w:ascii="Times New Roman" w:hAnsi="Times New Roman" w:eastAsia="楷体" w:cs="楷体"/>
          <w:color w:val="auto"/>
          <w:sz w:val="24"/>
          <w:highlight w:val="none"/>
          <w:lang w:val="en-US" w:eastAsia="zh-CN"/>
        </w:rPr>
        <w:t>，同时分别计数全血和PRP中的血小板浓度，在脱发</w:t>
      </w:r>
      <w:r>
        <w:rPr>
          <w:rFonts w:hint="default" w:ascii="Times New Roman" w:hAnsi="Times New Roman" w:eastAsia="楷体" w:cs="楷体"/>
          <w:color w:val="auto"/>
          <w:sz w:val="24"/>
          <w:highlight w:val="none"/>
          <w:lang w:val="en-US" w:eastAsia="zh-CN"/>
        </w:rPr>
        <w:t>区</w:t>
      </w:r>
      <w:r>
        <w:rPr>
          <w:rFonts w:hint="eastAsia" w:ascii="Times New Roman" w:hAnsi="Times New Roman" w:eastAsia="楷体" w:cs="楷体"/>
          <w:color w:val="000000" w:themeColor="text1"/>
          <w:sz w:val="24"/>
          <w:lang w:val="en-US" w:eastAsia="zh-CN"/>
          <w14:textFill>
            <w14:solidFill>
              <w14:schemeClr w14:val="tx1"/>
            </w14:solidFill>
          </w14:textFill>
        </w:rPr>
        <w:t>每月进行1次</w:t>
      </w:r>
      <w:r>
        <w:rPr>
          <w:rFonts w:hint="eastAsia" w:ascii="Times New Roman" w:hAnsi="Times New Roman" w:eastAsia="楷体" w:cs="楷体"/>
          <w:color w:val="auto"/>
          <w:sz w:val="24"/>
          <w:highlight w:val="none"/>
          <w:lang w:val="en-US" w:eastAsia="zh-CN"/>
        </w:rPr>
        <w:t>自体</w:t>
      </w:r>
      <w:r>
        <w:rPr>
          <w:rFonts w:hint="default" w:ascii="Times New Roman" w:hAnsi="Times New Roman" w:eastAsia="楷体" w:cs="楷体"/>
          <w:color w:val="auto"/>
          <w:sz w:val="24"/>
          <w:highlight w:val="none"/>
          <w:lang w:val="en-US" w:eastAsia="zh-CN"/>
        </w:rPr>
        <w:t>PRP注射</w:t>
      </w:r>
      <w:r>
        <w:rPr>
          <w:rFonts w:hint="eastAsia" w:ascii="Times New Roman" w:hAnsi="Times New Roman" w:eastAsia="楷体" w:cs="楷体"/>
          <w:color w:val="000000" w:themeColor="text1"/>
          <w:sz w:val="24"/>
          <w:lang w:val="en-US" w:eastAsia="zh-CN"/>
          <w14:textFill>
            <w14:solidFill>
              <w14:schemeClr w14:val="tx1"/>
            </w14:solidFill>
          </w14:textFill>
        </w:rPr>
        <w:t>，根据患者脱发情况不同总共3-6次</w:t>
      </w:r>
      <w:r>
        <w:rPr>
          <w:rFonts w:hint="eastAsia" w:ascii="Times New Roman" w:hAnsi="Times New Roman" w:eastAsia="楷体" w:cs="楷体"/>
          <w:color w:val="auto"/>
          <w:sz w:val="24"/>
          <w:highlight w:val="none"/>
          <w:lang w:val="en-US" w:eastAsia="zh-CN"/>
        </w:rPr>
        <w:t>，全程配合</w:t>
      </w:r>
      <w:r>
        <w:rPr>
          <w:rFonts w:hint="eastAsia" w:ascii="Times New Roman" w:hAnsi="Times New Roman" w:eastAsia="楷体" w:cs="楷体"/>
          <w:color w:val="000000" w:themeColor="text1"/>
          <w:sz w:val="24"/>
          <w14:textFill>
            <w14:solidFill>
              <w14:schemeClr w14:val="tx1"/>
            </w14:solidFill>
          </w14:textFill>
        </w:rPr>
        <w:t>外用</w:t>
      </w:r>
      <w:r>
        <w:rPr>
          <w:rFonts w:hint="eastAsia" w:ascii="Times New Roman" w:hAnsi="Times New Roman" w:eastAsia="楷体" w:cs="楷体"/>
          <w:color w:val="000000" w:themeColor="text1"/>
          <w:sz w:val="24"/>
          <w:lang w:val="en-US" w:eastAsia="zh-CN"/>
          <w14:textFill>
            <w14:solidFill>
              <w14:schemeClr w14:val="tx1"/>
            </w14:solidFill>
          </w14:textFill>
        </w:rPr>
        <w:t>5%</w:t>
      </w:r>
      <w:r>
        <w:rPr>
          <w:rFonts w:hint="eastAsia" w:ascii="Times New Roman" w:hAnsi="Times New Roman" w:eastAsia="楷体" w:cs="楷体"/>
          <w:color w:val="000000" w:themeColor="text1"/>
          <w:sz w:val="24"/>
          <w14:textFill>
            <w14:solidFill>
              <w14:schemeClr w14:val="tx1"/>
            </w14:solidFill>
          </w14:textFill>
        </w:rPr>
        <w:t>米诺地尔酊治疗</w:t>
      </w:r>
      <w:r>
        <w:rPr>
          <w:rFonts w:hint="eastAsia" w:ascii="Times New Roman" w:hAnsi="Times New Roman" w:eastAsia="楷体" w:cs="楷体"/>
          <w:color w:val="000000" w:themeColor="text1"/>
          <w:sz w:val="24"/>
          <w:lang w:eastAsia="zh-CN"/>
          <w14:textFill>
            <w14:solidFill>
              <w14:schemeClr w14:val="tx1"/>
            </w14:solidFill>
          </w14:textFill>
        </w:rPr>
        <w:t>；</w:t>
      </w:r>
      <w:r>
        <w:rPr>
          <w:rFonts w:hint="eastAsia" w:ascii="Times New Roman" w:hAnsi="Times New Roman" w:eastAsia="楷体" w:cs="楷体"/>
          <w:color w:val="000000" w:themeColor="text1"/>
          <w:sz w:val="24"/>
          <w:lang w:val="en-US" w:eastAsia="zh-CN"/>
          <w14:textFill>
            <w14:solidFill>
              <w14:schemeClr w14:val="tx1"/>
            </w14:solidFill>
          </w14:textFill>
        </w:rPr>
        <w:t>所有患者</w:t>
      </w:r>
      <w:r>
        <w:rPr>
          <w:rFonts w:hint="default" w:ascii="Times New Roman" w:hAnsi="Times New Roman" w:eastAsia="楷体" w:cs="楷体"/>
          <w:color w:val="auto"/>
          <w:sz w:val="24"/>
          <w:highlight w:val="none"/>
          <w:lang w:val="en-US" w:eastAsia="zh-CN"/>
        </w:rPr>
        <w:t>在治疗前</w:t>
      </w:r>
      <w:r>
        <w:rPr>
          <w:rFonts w:hint="eastAsia" w:ascii="Times New Roman" w:hAnsi="Times New Roman" w:eastAsia="楷体" w:cs="楷体"/>
          <w:color w:val="auto"/>
          <w:sz w:val="24"/>
          <w:highlight w:val="none"/>
          <w:lang w:val="en-US" w:eastAsia="zh-CN"/>
        </w:rPr>
        <w:t>后均进行</w:t>
      </w:r>
      <w:r>
        <w:rPr>
          <w:rFonts w:hint="default" w:ascii="Times New Roman" w:hAnsi="Times New Roman" w:eastAsia="楷体" w:cs="楷体"/>
          <w:color w:val="auto"/>
          <w:sz w:val="24"/>
          <w:highlight w:val="none"/>
          <w:lang w:val="en-US" w:eastAsia="zh-CN"/>
        </w:rPr>
        <w:t>进行皮肤镜检查、</w:t>
      </w:r>
      <w:r>
        <w:rPr>
          <w:rFonts w:hint="eastAsia" w:ascii="Times New Roman" w:hAnsi="Times New Roman" w:eastAsia="楷体" w:cs="楷体"/>
          <w:color w:val="auto"/>
          <w:sz w:val="24"/>
          <w:highlight w:val="none"/>
          <w:lang w:val="en-US" w:eastAsia="zh-CN"/>
        </w:rPr>
        <w:t>大体图拍照</w:t>
      </w:r>
      <w:r>
        <w:rPr>
          <w:rFonts w:hint="default" w:ascii="Times New Roman" w:hAnsi="Times New Roman" w:eastAsia="楷体" w:cs="楷体"/>
          <w:color w:val="auto"/>
          <w:sz w:val="24"/>
          <w:highlight w:val="none"/>
          <w:lang w:val="en-US" w:eastAsia="zh-CN"/>
        </w:rPr>
        <w:t>和患者满意度来评估</w:t>
      </w:r>
      <w:r>
        <w:rPr>
          <w:rFonts w:hint="eastAsia" w:ascii="Times New Roman" w:hAnsi="Times New Roman" w:eastAsia="楷体" w:cs="楷体"/>
          <w:color w:val="auto"/>
          <w:sz w:val="24"/>
          <w:highlight w:val="none"/>
          <w:lang w:val="en-US" w:eastAsia="zh-CN"/>
        </w:rPr>
        <w:t>治疗效果。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楷体"/>
          <w:color w:val="auto"/>
          <w:sz w:val="24"/>
          <w:highlight w:val="none"/>
          <w:lang w:val="en-US" w:eastAsia="zh-CN"/>
        </w:rPr>
      </w:pPr>
      <w:r>
        <w:rPr>
          <w:rFonts w:hint="default" w:ascii="Times New Roman" w:hAnsi="Times New Roman" w:eastAsia="楷体" w:cs="楷体"/>
          <w:b/>
          <w:bCs/>
          <w:color w:val="auto"/>
          <w:sz w:val="24"/>
          <w:highlight w:val="none"/>
          <w:lang w:val="en-US" w:eastAsia="zh-CN"/>
        </w:rPr>
        <w:t>结果：</w:t>
      </w:r>
      <w:r>
        <w:rPr>
          <w:rFonts w:hint="eastAsia" w:ascii="Times New Roman" w:hAnsi="Times New Roman" w:eastAsia="楷体" w:cs="楷体"/>
          <w:color w:val="auto"/>
          <w:sz w:val="24"/>
          <w:highlight w:val="none"/>
          <w:lang w:val="en-US" w:eastAsia="zh-CN"/>
        </w:rPr>
        <w:t>经自体PRP配合</w:t>
      </w:r>
      <w:r>
        <w:rPr>
          <w:rFonts w:hint="eastAsia" w:ascii="Times New Roman" w:hAnsi="Times New Roman" w:eastAsia="楷体" w:cs="楷体"/>
          <w:color w:val="000000" w:themeColor="text1"/>
          <w:sz w:val="24"/>
          <w14:textFill>
            <w14:solidFill>
              <w14:schemeClr w14:val="tx1"/>
            </w14:solidFill>
          </w14:textFill>
        </w:rPr>
        <w:t>外用</w:t>
      </w:r>
      <w:r>
        <w:rPr>
          <w:rFonts w:hint="eastAsia" w:ascii="Times New Roman" w:hAnsi="Times New Roman" w:eastAsia="楷体" w:cs="楷体"/>
          <w:color w:val="000000" w:themeColor="text1"/>
          <w:sz w:val="24"/>
          <w:lang w:val="en-US" w:eastAsia="zh-CN"/>
          <w14:textFill>
            <w14:solidFill>
              <w14:schemeClr w14:val="tx1"/>
            </w14:solidFill>
          </w14:textFill>
        </w:rPr>
        <w:t>5%</w:t>
      </w:r>
      <w:r>
        <w:rPr>
          <w:rFonts w:hint="eastAsia" w:ascii="Times New Roman" w:hAnsi="Times New Roman" w:eastAsia="楷体" w:cs="楷体"/>
          <w:color w:val="000000" w:themeColor="text1"/>
          <w:sz w:val="24"/>
          <w14:textFill>
            <w14:solidFill>
              <w14:schemeClr w14:val="tx1"/>
            </w14:solidFill>
          </w14:textFill>
        </w:rPr>
        <w:t>米诺地尔酊</w:t>
      </w:r>
      <w:r>
        <w:rPr>
          <w:rFonts w:hint="default" w:ascii="Times New Roman" w:hAnsi="Times New Roman" w:eastAsia="楷体" w:cs="楷体"/>
          <w:color w:val="auto"/>
          <w:sz w:val="24"/>
          <w:highlight w:val="none"/>
          <w:lang w:val="en-US" w:eastAsia="zh-CN"/>
        </w:rPr>
        <w:t>治疗后</w:t>
      </w:r>
      <w:r>
        <w:rPr>
          <w:rFonts w:hint="eastAsia" w:ascii="Times New Roman" w:hAnsi="Times New Roman" w:eastAsia="楷体" w:cs="楷体"/>
          <w:color w:val="auto"/>
          <w:sz w:val="24"/>
          <w:highlight w:val="none"/>
          <w:lang w:val="en-US" w:eastAsia="zh-CN"/>
        </w:rPr>
        <w:t>的患者</w:t>
      </w:r>
      <w:r>
        <w:rPr>
          <w:rFonts w:hint="default" w:ascii="Times New Roman" w:hAnsi="Times New Roman" w:eastAsia="楷体" w:cs="楷体"/>
          <w:color w:val="auto"/>
          <w:sz w:val="24"/>
          <w:highlight w:val="none"/>
          <w:lang w:val="en-US" w:eastAsia="zh-CN"/>
        </w:rPr>
        <w:t>脱发情况均显著减少</w:t>
      </w:r>
      <w:r>
        <w:rPr>
          <w:rFonts w:hint="eastAsia" w:ascii="Times New Roman" w:hAnsi="Times New Roman" w:eastAsia="楷体" w:cs="楷体"/>
          <w:color w:val="auto"/>
          <w:sz w:val="24"/>
          <w:highlight w:val="none"/>
          <w:lang w:val="en-US" w:eastAsia="zh-CN"/>
        </w:rPr>
        <w:t>、在注射PRP区域明显发现新生毛发；</w:t>
      </w:r>
      <w:r>
        <w:rPr>
          <w:rFonts w:hint="default" w:ascii="Times New Roman" w:hAnsi="Times New Roman" w:eastAsia="楷体" w:cs="楷体"/>
          <w:color w:val="auto"/>
          <w:sz w:val="24"/>
          <w:highlight w:val="none"/>
          <w:lang w:val="en-US" w:eastAsia="zh-CN"/>
        </w:rPr>
        <w:t>皮肤镜检查毛发直径均显著增加</w:t>
      </w:r>
      <w:r>
        <w:rPr>
          <w:rFonts w:hint="eastAsia" w:ascii="Times New Roman" w:hAnsi="Times New Roman" w:eastAsia="楷体" w:cs="楷体"/>
          <w:color w:val="auto"/>
          <w:sz w:val="24"/>
          <w:highlight w:val="none"/>
          <w:lang w:val="en-US" w:eastAsia="zh-CN"/>
        </w:rPr>
        <w:t>；</w:t>
      </w:r>
      <w:r>
        <w:rPr>
          <w:rFonts w:hint="default" w:ascii="Times New Roman" w:hAnsi="Times New Roman" w:eastAsia="楷体" w:cs="楷体"/>
          <w:color w:val="auto"/>
          <w:sz w:val="24"/>
          <w:highlight w:val="none"/>
          <w:lang w:val="en-US" w:eastAsia="zh-CN"/>
        </w:rPr>
        <w:t>头发数量从平均</w:t>
      </w:r>
      <w:r>
        <w:rPr>
          <w:rFonts w:hint="eastAsia" w:ascii="Times New Roman" w:hAnsi="Times New Roman" w:eastAsia="楷体" w:cs="楷体"/>
          <w:color w:val="auto"/>
          <w:sz w:val="24"/>
          <w:highlight w:val="none"/>
          <w:lang w:val="en-US" w:eastAsia="zh-CN"/>
        </w:rPr>
        <w:t>56根</w:t>
      </w:r>
      <w:r>
        <w:rPr>
          <w:rFonts w:hint="default" w:ascii="Times New Roman" w:hAnsi="Times New Roman" w:eastAsia="楷体" w:cs="楷体"/>
          <w:color w:val="auto"/>
          <w:sz w:val="24"/>
          <w:highlight w:val="none"/>
          <w:lang w:val="en-US" w:eastAsia="zh-CN"/>
        </w:rPr>
        <w:t>（</w:t>
      </w:r>
      <w:r>
        <w:rPr>
          <w:rFonts w:hint="eastAsia" w:ascii="Times New Roman" w:hAnsi="Times New Roman" w:eastAsia="楷体" w:cs="楷体"/>
          <w:color w:val="auto"/>
          <w:sz w:val="24"/>
          <w:highlight w:val="none"/>
          <w:lang w:val="en-US" w:eastAsia="zh-CN"/>
        </w:rPr>
        <w:t>n</w:t>
      </w:r>
      <w:r>
        <w:rPr>
          <w:rFonts w:hint="default" w:ascii="Times New Roman" w:hAnsi="Times New Roman" w:eastAsia="楷体" w:cs="楷体"/>
          <w:color w:val="auto"/>
          <w:sz w:val="24"/>
          <w:highlight w:val="none"/>
          <w:lang w:val="en-US" w:eastAsia="zh-CN"/>
        </w:rPr>
        <w:t>/cm</w:t>
      </w:r>
      <w:r>
        <w:rPr>
          <w:rFonts w:hint="default" w:ascii="Times New Roman" w:hAnsi="Times New Roman" w:eastAsia="楷体" w:cs="楷体"/>
          <w:color w:val="auto"/>
          <w:sz w:val="24"/>
          <w:highlight w:val="none"/>
          <w:vertAlign w:val="superscript"/>
          <w:lang w:val="en-US" w:eastAsia="zh-CN"/>
        </w:rPr>
        <w:t>2</w:t>
      </w:r>
      <w:r>
        <w:rPr>
          <w:rFonts w:hint="default" w:ascii="Times New Roman" w:hAnsi="Times New Roman" w:eastAsia="楷体" w:cs="楷体"/>
          <w:color w:val="auto"/>
          <w:sz w:val="24"/>
          <w:highlight w:val="none"/>
          <w:lang w:val="en-US" w:eastAsia="zh-CN"/>
        </w:rPr>
        <w:t>）增加到</w:t>
      </w:r>
      <w:r>
        <w:rPr>
          <w:rFonts w:hint="eastAsia" w:ascii="Times New Roman" w:hAnsi="Times New Roman" w:eastAsia="楷体" w:cs="楷体"/>
          <w:color w:val="auto"/>
          <w:sz w:val="24"/>
          <w:highlight w:val="none"/>
          <w:lang w:val="en-US" w:eastAsia="zh-CN"/>
        </w:rPr>
        <w:t>89根</w:t>
      </w:r>
      <w:r>
        <w:rPr>
          <w:rFonts w:hint="default" w:ascii="Times New Roman" w:hAnsi="Times New Roman" w:eastAsia="楷体" w:cs="楷体"/>
          <w:color w:val="auto"/>
          <w:sz w:val="24"/>
          <w:highlight w:val="none"/>
          <w:lang w:val="en-US" w:eastAsia="zh-CN"/>
        </w:rPr>
        <w:t>（</w:t>
      </w:r>
      <w:r>
        <w:rPr>
          <w:rFonts w:hint="eastAsia" w:ascii="Times New Roman" w:hAnsi="Times New Roman" w:eastAsia="楷体" w:cs="楷体"/>
          <w:color w:val="auto"/>
          <w:sz w:val="24"/>
          <w:highlight w:val="none"/>
          <w:lang w:val="en-US" w:eastAsia="zh-CN"/>
        </w:rPr>
        <w:t>n</w:t>
      </w:r>
      <w:r>
        <w:rPr>
          <w:rFonts w:hint="default" w:ascii="Times New Roman" w:hAnsi="Times New Roman" w:eastAsia="楷体" w:cs="楷体"/>
          <w:color w:val="auto"/>
          <w:sz w:val="24"/>
          <w:highlight w:val="none"/>
          <w:lang w:val="en-US" w:eastAsia="zh-CN"/>
        </w:rPr>
        <w:t>/cm</w:t>
      </w:r>
      <w:r>
        <w:rPr>
          <w:rFonts w:hint="default" w:ascii="Times New Roman" w:hAnsi="Times New Roman" w:eastAsia="楷体" w:cs="楷体"/>
          <w:color w:val="auto"/>
          <w:sz w:val="24"/>
          <w:highlight w:val="none"/>
          <w:vertAlign w:val="superscript"/>
          <w:lang w:val="en-US" w:eastAsia="zh-CN"/>
        </w:rPr>
        <w:t>2</w:t>
      </w:r>
      <w:r>
        <w:rPr>
          <w:rFonts w:hint="default" w:ascii="Times New Roman" w:hAnsi="Times New Roman" w:eastAsia="楷体" w:cs="楷体"/>
          <w:color w:val="auto"/>
          <w:sz w:val="24"/>
          <w:highlight w:val="none"/>
          <w:lang w:val="en-US" w:eastAsia="zh-CN"/>
        </w:rPr>
        <w:t>）</w:t>
      </w:r>
      <w:r>
        <w:rPr>
          <w:rFonts w:hint="eastAsia" w:ascii="Times New Roman" w:hAnsi="Times New Roman" w:eastAsia="楷体" w:cs="楷体"/>
          <w:color w:val="auto"/>
          <w:sz w:val="24"/>
          <w:highlight w:val="none"/>
          <w:lang w:val="en-US" w:eastAsia="zh-CN"/>
        </w:rPr>
        <w:t>。患者之前的洗头频次几乎都是1天1次，经过治疗后的洗头频率是1周4-6次。</w:t>
      </w:r>
      <w:r>
        <w:rPr>
          <w:rFonts w:hint="default" w:ascii="Times New Roman" w:hAnsi="Times New Roman" w:eastAsia="楷体" w:cs="楷体"/>
          <w:color w:val="auto"/>
          <w:sz w:val="24"/>
          <w:highlight w:val="none"/>
          <w:lang w:val="en-US" w:eastAsia="zh-CN"/>
        </w:rPr>
        <w:t>此外，</w:t>
      </w:r>
      <w:r>
        <w:rPr>
          <w:rFonts w:hint="eastAsia" w:ascii="Times New Roman" w:hAnsi="Times New Roman" w:eastAsia="楷体" w:cs="楷体"/>
          <w:color w:val="auto"/>
          <w:sz w:val="24"/>
          <w:highlight w:val="none"/>
          <w:lang w:val="en-US" w:eastAsia="zh-CN"/>
        </w:rPr>
        <w:t>仅</w:t>
      </w:r>
      <w:r>
        <w:rPr>
          <w:rFonts w:hint="eastAsia" w:ascii="Times New Roman" w:hAnsi="Times New Roman" w:eastAsia="楷体" w:cs="楷体"/>
          <w:color w:val="000000" w:themeColor="text1"/>
          <w:sz w:val="24"/>
          <w14:textFill>
            <w14:solidFill>
              <w14:schemeClr w14:val="tx1"/>
            </w14:solidFill>
          </w14:textFill>
        </w:rPr>
        <w:t>外用</w:t>
      </w:r>
      <w:r>
        <w:rPr>
          <w:rFonts w:hint="eastAsia" w:ascii="Times New Roman" w:hAnsi="Times New Roman" w:eastAsia="楷体" w:cs="楷体"/>
          <w:color w:val="000000" w:themeColor="text1"/>
          <w:sz w:val="24"/>
          <w:lang w:val="en-US" w:eastAsia="zh-CN"/>
          <w14:textFill>
            <w14:solidFill>
              <w14:schemeClr w14:val="tx1"/>
            </w14:solidFill>
          </w14:textFill>
        </w:rPr>
        <w:t>5%</w:t>
      </w:r>
      <w:r>
        <w:rPr>
          <w:rFonts w:hint="eastAsia" w:ascii="Times New Roman" w:hAnsi="Times New Roman" w:eastAsia="楷体" w:cs="楷体"/>
          <w:color w:val="000000" w:themeColor="text1"/>
          <w:sz w:val="24"/>
          <w14:textFill>
            <w14:solidFill>
              <w14:schemeClr w14:val="tx1"/>
            </w14:solidFill>
          </w14:textFill>
        </w:rPr>
        <w:t>米诺地尔酊治疗</w:t>
      </w:r>
      <w:r>
        <w:rPr>
          <w:rFonts w:hint="eastAsia" w:ascii="Times New Roman" w:hAnsi="Times New Roman" w:eastAsia="楷体" w:cs="楷体"/>
          <w:color w:val="000000" w:themeColor="text1"/>
          <w:sz w:val="24"/>
          <w:lang w:val="en-US" w:eastAsia="zh-CN"/>
          <w14:textFill>
            <w14:solidFill>
              <w14:schemeClr w14:val="tx1"/>
            </w14:solidFill>
          </w14:textFill>
        </w:rPr>
        <w:t>的</w:t>
      </w:r>
      <w:r>
        <w:rPr>
          <w:rFonts w:hint="default" w:ascii="Times New Roman" w:hAnsi="Times New Roman" w:eastAsia="楷体" w:cs="楷体"/>
          <w:color w:val="auto"/>
          <w:sz w:val="24"/>
          <w:highlight w:val="none"/>
          <w:lang w:val="en-US" w:eastAsia="zh-CN"/>
        </w:rPr>
        <w:t>患者</w:t>
      </w:r>
      <w:r>
        <w:rPr>
          <w:rFonts w:hint="eastAsia" w:ascii="Times New Roman" w:hAnsi="Times New Roman" w:eastAsia="楷体" w:cs="楷体"/>
          <w:color w:val="auto"/>
          <w:sz w:val="24"/>
          <w:highlight w:val="none"/>
          <w:lang w:val="en-US" w:eastAsia="zh-CN"/>
        </w:rPr>
        <w:t>新生毛发较少</w:t>
      </w:r>
      <w:r>
        <w:rPr>
          <w:rFonts w:hint="default" w:ascii="Times New Roman" w:hAnsi="Times New Roman" w:eastAsia="楷体" w:cs="楷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楷体" w:cs="楷体"/>
          <w:color w:val="auto"/>
          <w:sz w:val="24"/>
          <w:highlight w:val="none"/>
          <w:lang w:val="en-US" w:eastAsia="zh-CN"/>
        </w:rPr>
      </w:pPr>
      <w:r>
        <w:rPr>
          <w:rFonts w:hint="default" w:ascii="Times New Roman" w:hAnsi="Times New Roman" w:eastAsia="楷体" w:cs="楷体"/>
          <w:b/>
          <w:bCs/>
          <w:color w:val="auto"/>
          <w:sz w:val="24"/>
          <w:highlight w:val="none"/>
          <w:lang w:val="en-US" w:eastAsia="zh-CN"/>
        </w:rPr>
        <w:t>结论：</w:t>
      </w:r>
      <w:r>
        <w:rPr>
          <w:rFonts w:hint="eastAsia" w:ascii="Times New Roman" w:hAnsi="Times New Roman" w:eastAsia="楷体" w:cs="楷体"/>
          <w:color w:val="auto"/>
          <w:sz w:val="24"/>
          <w:highlight w:val="none"/>
          <w:lang w:val="en-US" w:eastAsia="zh-CN"/>
        </w:rPr>
        <w:t>自体</w:t>
      </w:r>
      <w:r>
        <w:rPr>
          <w:rFonts w:hint="default" w:ascii="Times New Roman" w:hAnsi="Times New Roman" w:eastAsia="楷体" w:cs="楷体"/>
          <w:color w:val="auto"/>
          <w:sz w:val="24"/>
          <w:highlight w:val="none"/>
          <w:lang w:val="en-US" w:eastAsia="zh-CN"/>
        </w:rPr>
        <w:t>PRP</w:t>
      </w:r>
      <w:r>
        <w:rPr>
          <w:rFonts w:hint="eastAsia" w:ascii="Times New Roman" w:hAnsi="Times New Roman" w:eastAsia="楷体" w:cs="楷体"/>
          <w:color w:val="auto"/>
          <w:sz w:val="24"/>
          <w:highlight w:val="none"/>
          <w:lang w:val="en-US" w:eastAsia="zh-CN"/>
        </w:rPr>
        <w:t>配合</w:t>
      </w:r>
      <w:r>
        <w:rPr>
          <w:rFonts w:hint="eastAsia" w:ascii="Times New Roman" w:hAnsi="Times New Roman" w:eastAsia="楷体" w:cs="楷体"/>
          <w:color w:val="000000" w:themeColor="text1"/>
          <w:sz w:val="24"/>
          <w:lang w:val="en-US" w:eastAsia="zh-CN"/>
          <w14:textFill>
            <w14:solidFill>
              <w14:schemeClr w14:val="tx1"/>
            </w14:solidFill>
          </w14:textFill>
        </w:rPr>
        <w:t>5%</w:t>
      </w:r>
      <w:r>
        <w:rPr>
          <w:rFonts w:hint="eastAsia" w:ascii="Times New Roman" w:hAnsi="Times New Roman" w:eastAsia="楷体" w:cs="楷体"/>
          <w:color w:val="000000" w:themeColor="text1"/>
          <w:sz w:val="24"/>
          <w14:textFill>
            <w14:solidFill>
              <w14:schemeClr w14:val="tx1"/>
            </w14:solidFill>
          </w14:textFill>
        </w:rPr>
        <w:t>外用米诺地尔酊</w:t>
      </w:r>
      <w:r>
        <w:rPr>
          <w:rFonts w:hint="default" w:ascii="Times New Roman" w:hAnsi="Times New Roman" w:eastAsia="楷体" w:cs="楷体"/>
          <w:color w:val="auto"/>
          <w:sz w:val="24"/>
          <w:highlight w:val="none"/>
          <w:lang w:val="en-US" w:eastAsia="zh-CN"/>
        </w:rPr>
        <w:t>治疗</w:t>
      </w:r>
      <w:r>
        <w:rPr>
          <w:rFonts w:hint="eastAsia" w:ascii="Times New Roman" w:hAnsi="Times New Roman" w:eastAsia="楷体" w:cs="楷体"/>
          <w:color w:val="auto"/>
          <w:sz w:val="24"/>
          <w:highlight w:val="none"/>
          <w:lang w:val="en-US" w:eastAsia="zh-CN"/>
        </w:rPr>
        <w:t>AGA，促进头发的生长、改善头皮清洁度，</w:t>
      </w:r>
      <w:r>
        <w:rPr>
          <w:rFonts w:hint="default" w:ascii="Times New Roman" w:hAnsi="Times New Roman" w:eastAsia="楷体" w:cs="楷体"/>
          <w:color w:val="auto"/>
          <w:sz w:val="24"/>
          <w:highlight w:val="none"/>
          <w:lang w:val="en-US" w:eastAsia="zh-CN"/>
        </w:rPr>
        <w:t>是</w:t>
      </w:r>
      <w:r>
        <w:rPr>
          <w:rFonts w:hint="eastAsia" w:ascii="Times New Roman" w:hAnsi="Times New Roman" w:eastAsia="楷体" w:cs="楷体"/>
          <w:color w:val="auto"/>
          <w:sz w:val="24"/>
          <w:highlight w:val="none"/>
          <w:lang w:val="en-US" w:eastAsia="zh-CN"/>
        </w:rPr>
        <w:t>一种临床</w:t>
      </w:r>
      <w:r>
        <w:rPr>
          <w:rFonts w:hint="default" w:ascii="Times New Roman" w:hAnsi="Times New Roman" w:eastAsia="楷体" w:cs="楷体"/>
          <w:color w:val="auto"/>
          <w:sz w:val="24"/>
          <w:highlight w:val="none"/>
          <w:lang w:val="en-US" w:eastAsia="zh-CN"/>
        </w:rPr>
        <w:t>治疗</w:t>
      </w:r>
      <w:r>
        <w:rPr>
          <w:rFonts w:hint="eastAsia" w:ascii="Times New Roman" w:hAnsi="Times New Roman" w:eastAsia="楷体" w:cs="楷体"/>
          <w:color w:val="auto"/>
          <w:sz w:val="24"/>
          <w:highlight w:val="none"/>
          <w:lang w:val="en-US" w:eastAsia="zh-CN"/>
        </w:rPr>
        <w:t>AGA</w:t>
      </w:r>
      <w:r>
        <w:rPr>
          <w:rFonts w:hint="default" w:ascii="Times New Roman" w:hAnsi="Times New Roman" w:eastAsia="楷体" w:cs="楷体"/>
          <w:color w:val="auto"/>
          <w:sz w:val="24"/>
          <w:highlight w:val="none"/>
          <w:lang w:val="en-US" w:eastAsia="zh-CN"/>
        </w:rPr>
        <w:t>的</w:t>
      </w:r>
      <w:r>
        <w:rPr>
          <w:rFonts w:hint="eastAsia" w:ascii="Times New Roman" w:hAnsi="Times New Roman" w:eastAsia="楷体" w:cs="楷体"/>
          <w:color w:val="auto"/>
          <w:sz w:val="24"/>
          <w:highlight w:val="none"/>
          <w:lang w:val="en-US" w:eastAsia="zh-CN"/>
        </w:rPr>
        <w:t>良好方案。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楷体" w:cs="楷体"/>
          <w:color w:val="auto"/>
          <w:sz w:val="24"/>
          <w:highlight w:val="none"/>
          <w:lang w:val="en-US" w:eastAsia="zh-CN"/>
        </w:rPr>
      </w:pPr>
      <w:r>
        <w:rPr>
          <w:rFonts w:hint="eastAsia" w:ascii="Times New Roman" w:hAnsi="Times New Roman" w:eastAsia="楷体" w:cs="楷体"/>
          <w:b/>
          <w:bCs/>
          <w:color w:val="auto"/>
          <w:sz w:val="24"/>
          <w:highlight w:val="none"/>
          <w:lang w:val="en-US" w:eastAsia="zh-CN"/>
        </w:rPr>
        <w:t>关键词</w:t>
      </w:r>
      <w:r>
        <w:rPr>
          <w:rFonts w:hint="default" w:ascii="Times New Roman" w:hAnsi="Times New Roman" w:eastAsia="楷体" w:cs="楷体"/>
          <w:b/>
          <w:bCs/>
          <w:color w:val="auto"/>
          <w:sz w:val="24"/>
          <w:highlight w:val="none"/>
          <w:lang w:val="en-US" w:eastAsia="zh-CN"/>
        </w:rPr>
        <w:t>：</w:t>
      </w:r>
      <w:r>
        <w:rPr>
          <w:rFonts w:hint="eastAsia" w:ascii="Times New Roman" w:hAnsi="Times New Roman" w:eastAsia="楷体" w:cs="楷体"/>
          <w:color w:val="auto"/>
          <w:sz w:val="24"/>
          <w:highlight w:val="none"/>
          <w:lang w:val="en-US" w:eastAsia="zh-CN"/>
        </w:rPr>
        <w:t>富血小板血浆；雄激素性脱发；</w:t>
      </w:r>
      <w:r>
        <w:rPr>
          <w:rFonts w:hint="default" w:ascii="Times New Roman" w:hAnsi="Times New Roman" w:eastAsia="楷体" w:cs="楷体"/>
          <w:color w:val="auto"/>
          <w:sz w:val="24"/>
          <w:lang w:val="en-US"/>
        </w:rPr>
        <w:t>9</w:t>
      </w:r>
      <w:r>
        <w:rPr>
          <w:rFonts w:hint="eastAsia" w:ascii="Times New Roman" w:hAnsi="Times New Roman" w:eastAsia="楷体" w:cs="楷体"/>
          <w:color w:val="auto"/>
          <w:sz w:val="24"/>
          <w:lang w:val="en-US" w:eastAsia="zh-CN"/>
        </w:rPr>
        <w:t>孔微针</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楷体" w:cs="楷体"/>
          <w:b/>
          <w:bCs/>
          <w:color w:val="auto"/>
          <w:sz w:val="24"/>
          <w:highlight w:val="none"/>
          <w:lang w:val="en-US" w:eastAsia="zh-CN"/>
        </w:rPr>
      </w:pPr>
      <w:r>
        <w:rPr>
          <w:rFonts w:hint="eastAsia" w:ascii="Times New Roman" w:hAnsi="Times New Roman" w:eastAsia="楷体" w:cs="楷体"/>
          <w:b/>
          <w:bCs/>
          <w:color w:val="auto"/>
          <w:sz w:val="24"/>
          <w:highlight w:val="none"/>
          <w:lang w:val="en-US" w:eastAsia="zh-CN"/>
        </w:rPr>
        <w:t>前言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雄激素性脱发( androgenetic alopecia，AGA)</w:t>
      </w:r>
      <w:r>
        <w:rPr>
          <w:rFonts w:hint="eastAsia" w:ascii="Times New Roman" w:hAnsi="Times New Roman" w:eastAsia="楷体" w:cs="楷体"/>
          <w:sz w:val="24"/>
          <w:szCs w:val="24"/>
          <w:lang w:val="en-US" w:eastAsia="zh-CN"/>
        </w:rPr>
        <w:t>是一种非瘢痕性、慢性、进行性、具有</w:t>
      </w:r>
      <w:r>
        <w:rPr>
          <w:rFonts w:hint="eastAsia" w:ascii="Times New Roman" w:hAnsi="Times New Roman" w:eastAsia="楷体" w:cs="楷体"/>
          <w:sz w:val="24"/>
          <w:szCs w:val="24"/>
        </w:rPr>
        <w:t>遗传</w:t>
      </w:r>
      <w:r>
        <w:rPr>
          <w:rFonts w:hint="eastAsia" w:ascii="Times New Roman" w:hAnsi="Times New Roman" w:eastAsia="楷体" w:cs="楷体"/>
          <w:sz w:val="24"/>
          <w:szCs w:val="24"/>
          <w:lang w:val="en-US" w:eastAsia="zh-CN"/>
        </w:rPr>
        <w:t>的</w:t>
      </w:r>
      <w:r>
        <w:rPr>
          <w:rFonts w:hint="eastAsia" w:ascii="Times New Roman" w:hAnsi="Times New Roman" w:eastAsia="楷体" w:cs="楷体"/>
          <w:sz w:val="24"/>
          <w:szCs w:val="24"/>
        </w:rPr>
        <w:t>雄激素</w:t>
      </w:r>
      <w:r>
        <w:rPr>
          <w:rFonts w:hint="eastAsia" w:ascii="Times New Roman" w:hAnsi="Times New Roman" w:eastAsia="楷体" w:cs="楷体"/>
          <w:sz w:val="24"/>
          <w:szCs w:val="24"/>
          <w:lang w:val="en-US" w:eastAsia="zh-CN"/>
        </w:rPr>
        <w:t>相关疾病；</w:t>
      </w:r>
      <w:r>
        <w:rPr>
          <w:rFonts w:hint="eastAsia" w:ascii="Times New Roman" w:hAnsi="Times New Roman" w:eastAsia="楷体" w:cs="楷体"/>
          <w:sz w:val="24"/>
        </w:rPr>
        <w:t>男性患者常</w:t>
      </w:r>
      <w:r>
        <w:rPr>
          <w:rFonts w:hint="eastAsia" w:ascii="Times New Roman" w:hAnsi="Times New Roman" w:eastAsia="楷体" w:cs="楷体"/>
          <w:sz w:val="24"/>
          <w:lang w:val="en-US" w:eastAsia="zh-CN"/>
        </w:rPr>
        <w:t>见</w:t>
      </w:r>
      <w:r>
        <w:rPr>
          <w:rFonts w:hint="eastAsia" w:ascii="Times New Roman" w:hAnsi="Times New Roman" w:eastAsia="楷体" w:cs="楷体"/>
          <w:sz w:val="24"/>
        </w:rPr>
        <w:t>头颞部、额部和顶部区域的头发减少</w:t>
      </w:r>
      <w:r>
        <w:rPr>
          <w:rFonts w:hint="eastAsia" w:ascii="Times New Roman" w:hAnsi="Times New Roman" w:eastAsia="楷体" w:cs="楷体"/>
          <w:sz w:val="24"/>
          <w:lang w:eastAsia="zh-CN"/>
        </w:rPr>
        <w:t>，</w:t>
      </w:r>
      <w:r>
        <w:rPr>
          <w:rFonts w:hint="eastAsia" w:ascii="Times New Roman" w:hAnsi="Times New Roman" w:eastAsia="楷体" w:cs="楷体"/>
          <w:sz w:val="24"/>
        </w:rPr>
        <w:t>女性患者常</w:t>
      </w:r>
      <w:r>
        <w:rPr>
          <w:rFonts w:hint="eastAsia" w:ascii="Times New Roman" w:hAnsi="Times New Roman" w:eastAsia="楷体" w:cs="楷体"/>
          <w:sz w:val="24"/>
          <w:lang w:val="en-US" w:eastAsia="zh-CN"/>
        </w:rPr>
        <w:t>见的是</w:t>
      </w:r>
      <w:r>
        <w:rPr>
          <w:rFonts w:hint="eastAsia" w:ascii="Times New Roman" w:hAnsi="Times New Roman" w:eastAsia="楷体" w:cs="楷体"/>
          <w:sz w:val="24"/>
        </w:rPr>
        <w:t>头冠顶部弥漫性头发稀疏</w:t>
      </w:r>
      <w:r>
        <w:rPr>
          <w:rFonts w:hint="eastAsia" w:ascii="Times New Roman" w:hAnsi="Times New Roman" w:eastAsia="楷体" w:cs="楷体"/>
          <w:sz w:val="24"/>
          <w:lang w:eastAsia="zh-CN"/>
        </w:rPr>
        <w:t>；</w:t>
      </w:r>
      <w:r>
        <w:rPr>
          <w:rFonts w:hint="eastAsia" w:ascii="Times New Roman" w:hAnsi="Times New Roman" w:eastAsia="楷体" w:cs="楷体"/>
          <w:sz w:val="24"/>
          <w:szCs w:val="24"/>
          <w:lang w:val="en-US" w:eastAsia="zh-CN"/>
        </w:rPr>
        <w:t>AGA</w:t>
      </w:r>
      <w:r>
        <w:rPr>
          <w:rFonts w:hint="eastAsia" w:ascii="Times New Roman" w:hAnsi="Times New Roman" w:eastAsia="楷体" w:cs="楷体"/>
          <w:sz w:val="24"/>
          <w:szCs w:val="24"/>
        </w:rPr>
        <w:t>病程进展缓慢，</w:t>
      </w:r>
      <w:r>
        <w:rPr>
          <w:rFonts w:hint="eastAsia" w:ascii="Times New Roman" w:hAnsi="Times New Roman" w:eastAsia="楷体" w:cs="楷体"/>
          <w:sz w:val="24"/>
          <w:szCs w:val="24"/>
          <w:lang w:val="en-US" w:eastAsia="zh-CN"/>
        </w:rPr>
        <w:t>但</w:t>
      </w:r>
      <w:r>
        <w:rPr>
          <w:rFonts w:hint="eastAsia" w:ascii="Times New Roman" w:hAnsi="Times New Roman" w:eastAsia="楷体" w:cs="楷体"/>
          <w:sz w:val="24"/>
          <w:szCs w:val="24"/>
        </w:rPr>
        <w:t>脱发无论对男性或女性</w:t>
      </w:r>
      <w:r>
        <w:rPr>
          <w:rFonts w:hint="eastAsia" w:ascii="Times New Roman" w:hAnsi="Times New Roman" w:eastAsia="楷体" w:cs="楷体"/>
          <w:sz w:val="24"/>
          <w:szCs w:val="24"/>
          <w:lang w:val="en-US" w:eastAsia="zh-CN"/>
        </w:rPr>
        <w:t>都会产生一定的</w:t>
      </w:r>
      <w:r>
        <w:rPr>
          <w:rFonts w:hint="eastAsia" w:ascii="Times New Roman" w:hAnsi="Times New Roman" w:eastAsia="楷体" w:cs="楷体"/>
          <w:sz w:val="24"/>
          <w:szCs w:val="24"/>
        </w:rPr>
        <w:t>容貌</w:t>
      </w:r>
      <w:r>
        <w:rPr>
          <w:rFonts w:hint="eastAsia" w:ascii="Times New Roman" w:hAnsi="Times New Roman" w:eastAsia="楷体" w:cs="楷体"/>
          <w:sz w:val="24"/>
          <w:szCs w:val="24"/>
          <w:lang w:val="en-US" w:eastAsia="zh-CN"/>
        </w:rPr>
        <w:t>焦虑</w:t>
      </w:r>
      <w:r>
        <w:rPr>
          <w:rFonts w:hint="eastAsia" w:ascii="Times New Roman" w:hAnsi="Times New Roman" w:eastAsia="楷体" w:cs="楷体"/>
          <w:sz w:val="24"/>
          <w:szCs w:val="24"/>
          <w:lang w:val="en-US" w:eastAsia="zh-CN"/>
        </w:rPr>
        <w:fldChar w:fldCharType="begin"/>
      </w:r>
      <w:r>
        <w:rPr>
          <w:rFonts w:hint="eastAsia" w:ascii="Times New Roman" w:hAnsi="Times New Roman" w:eastAsia="楷体" w:cs="楷体"/>
          <w:sz w:val="24"/>
          <w:szCs w:val="24"/>
          <w:lang w:val="en-US" w:eastAsia="zh-CN"/>
        </w:rPr>
        <w:instrText xml:space="preserve"> ADDIN NE.Ref.{68553297-A718-4FEB-821D-5B7BBD8CBDC7}</w:instrText>
      </w:r>
      <w:r>
        <w:rPr>
          <w:rFonts w:hint="eastAsia" w:ascii="Times New Roman" w:hAnsi="Times New Roman" w:eastAsia="楷体" w:cs="楷体"/>
          <w:sz w:val="24"/>
          <w:szCs w:val="24"/>
          <w:lang w:val="en-US" w:eastAsia="zh-CN"/>
        </w:rPr>
        <w:fldChar w:fldCharType="separate"/>
      </w:r>
      <w:r>
        <w:rPr>
          <w:rFonts w:hint="eastAsia" w:ascii="宋体" w:hAnsi="宋体"/>
          <w:color w:val="080000"/>
          <w:sz w:val="21"/>
          <w:szCs w:val="24"/>
        </w:rPr>
        <w:t>[1-3]</w:t>
      </w:r>
      <w:r>
        <w:rPr>
          <w:rFonts w:hint="eastAsia" w:ascii="Times New Roman" w:hAnsi="Times New Roman" w:eastAsia="楷体" w:cs="楷体"/>
          <w:sz w:val="24"/>
          <w:szCs w:val="24"/>
          <w:lang w:val="en-US" w:eastAsia="zh-CN"/>
        </w:rPr>
        <w:fldChar w:fldCharType="end"/>
      </w:r>
      <w:r>
        <w:rPr>
          <w:rFonts w:hint="eastAsia" w:ascii="Times New Roman" w:hAnsi="Times New Roman" w:eastAsia="楷体" w:cs="楷体"/>
          <w:sz w:val="24"/>
          <w:szCs w:val="24"/>
          <w:lang w:val="en-US" w:eastAsia="zh-CN"/>
        </w:rPr>
        <w:t>。目前FDA批准治疗雄激素性脱发的方法包括局部应用米诺地尔</w:t>
      </w:r>
      <w:r>
        <w:rPr>
          <w:rFonts w:hint="eastAsia" w:ascii="Times New Roman" w:hAnsi="Times New Roman" w:eastAsia="楷体" w:cs="楷体"/>
          <w:color w:val="000000" w:themeColor="text1"/>
          <w:sz w:val="24"/>
          <w14:textFill>
            <w14:solidFill>
              <w14:schemeClr w14:val="tx1"/>
            </w14:solidFill>
          </w14:textFill>
        </w:rPr>
        <w:t>酊</w:t>
      </w:r>
      <w:r>
        <w:rPr>
          <w:rFonts w:hint="eastAsia" w:ascii="Times New Roman" w:hAnsi="Times New Roman" w:eastAsia="楷体" w:cs="楷体"/>
          <w:sz w:val="24"/>
          <w:szCs w:val="24"/>
          <w:lang w:val="en-US" w:eastAsia="zh-CN"/>
        </w:rPr>
        <w:t>、口服非那雄胺和低能量光疗</w:t>
      </w:r>
      <w:r>
        <w:rPr>
          <w:rFonts w:hint="eastAsia" w:ascii="Times New Roman" w:hAnsi="Times New Roman" w:eastAsia="楷体" w:cs="楷体"/>
          <w:sz w:val="24"/>
          <w:szCs w:val="24"/>
          <w:lang w:val="en-US" w:eastAsia="zh-CN"/>
        </w:rPr>
        <w:fldChar w:fldCharType="begin"/>
      </w:r>
      <w:r>
        <w:rPr>
          <w:rFonts w:hint="eastAsia" w:ascii="Times New Roman" w:hAnsi="Times New Roman" w:eastAsia="楷体" w:cs="楷体"/>
          <w:sz w:val="24"/>
          <w:szCs w:val="24"/>
          <w:lang w:val="en-US" w:eastAsia="zh-CN"/>
        </w:rPr>
        <w:instrText xml:space="preserve"> ADDIN NE.Ref.{3D034AA2-0C89-477A-A97A-B0A9E51F4F3C}</w:instrText>
      </w:r>
      <w:r>
        <w:rPr>
          <w:rFonts w:hint="eastAsia" w:ascii="Times New Roman" w:hAnsi="Times New Roman" w:eastAsia="楷体" w:cs="楷体"/>
          <w:sz w:val="24"/>
          <w:szCs w:val="24"/>
          <w:lang w:val="en-US" w:eastAsia="zh-CN"/>
        </w:rPr>
        <w:fldChar w:fldCharType="separate"/>
      </w:r>
      <w:r>
        <w:rPr>
          <w:rFonts w:hint="eastAsia" w:ascii="宋体" w:hAnsi="宋体"/>
          <w:color w:val="080000"/>
          <w:sz w:val="21"/>
          <w:szCs w:val="24"/>
        </w:rPr>
        <w:t>[4, 5]</w:t>
      </w:r>
      <w:r>
        <w:rPr>
          <w:rFonts w:hint="eastAsia" w:ascii="Times New Roman" w:hAnsi="Times New Roman" w:eastAsia="楷体" w:cs="楷体"/>
          <w:sz w:val="24"/>
          <w:szCs w:val="24"/>
          <w:lang w:val="en-US" w:eastAsia="zh-CN"/>
        </w:rPr>
        <w:fldChar w:fldCharType="end"/>
      </w:r>
      <w:r>
        <w:rPr>
          <w:rFonts w:hint="eastAsia" w:ascii="Times New Roman" w:hAnsi="Times New Roman" w:eastAsia="楷体" w:cs="楷体"/>
          <w:sz w:val="24"/>
          <w:szCs w:val="24"/>
          <w:lang w:val="en-US" w:eastAsia="zh-CN"/>
        </w:rPr>
        <w:t>。由于药物的时效性、性别限制、可能致畸、影响血压等局限性</w:t>
      </w:r>
      <w:r>
        <w:rPr>
          <w:rFonts w:hint="eastAsia" w:ascii="Times New Roman" w:hAnsi="Times New Roman" w:eastAsia="楷体" w:cs="楷体"/>
          <w:sz w:val="24"/>
          <w:szCs w:val="24"/>
          <w:lang w:val="en-US" w:eastAsia="zh-CN"/>
        </w:rPr>
        <w:fldChar w:fldCharType="begin"/>
      </w:r>
      <w:r>
        <w:rPr>
          <w:rFonts w:hint="eastAsia" w:ascii="Times New Roman" w:hAnsi="Times New Roman" w:eastAsia="楷体" w:cs="楷体"/>
          <w:sz w:val="24"/>
          <w:szCs w:val="24"/>
          <w:lang w:val="en-US" w:eastAsia="zh-CN"/>
        </w:rPr>
        <w:instrText xml:space="preserve"> ADDIN NE.Ref.{3E8D4BC1-B0DC-4315-A61F-7D65296F25D3}</w:instrText>
      </w:r>
      <w:r>
        <w:rPr>
          <w:rFonts w:hint="eastAsia" w:ascii="Times New Roman" w:hAnsi="Times New Roman" w:eastAsia="楷体" w:cs="楷体"/>
          <w:sz w:val="24"/>
          <w:szCs w:val="24"/>
          <w:lang w:val="en-US" w:eastAsia="zh-CN"/>
        </w:rPr>
        <w:fldChar w:fldCharType="separate"/>
      </w:r>
      <w:r>
        <w:rPr>
          <w:rFonts w:hint="eastAsia" w:ascii="宋体" w:hAnsi="宋体"/>
          <w:color w:val="080000"/>
          <w:sz w:val="21"/>
          <w:szCs w:val="24"/>
        </w:rPr>
        <w:t>[6]</w:t>
      </w:r>
      <w:r>
        <w:rPr>
          <w:rFonts w:hint="eastAsia" w:ascii="Times New Roman" w:hAnsi="Times New Roman" w:eastAsia="楷体" w:cs="楷体"/>
          <w:sz w:val="24"/>
          <w:szCs w:val="24"/>
          <w:lang w:val="en-US" w:eastAsia="zh-CN"/>
        </w:rPr>
        <w:fldChar w:fldCharType="end"/>
      </w:r>
      <w:r>
        <w:rPr>
          <w:rFonts w:hint="eastAsia" w:ascii="Times New Roman" w:hAnsi="Times New Roman" w:eastAsia="楷体" w:cs="楷体"/>
          <w:sz w:val="24"/>
          <w:szCs w:val="24"/>
          <w:lang w:val="en-US" w:eastAsia="zh-CN"/>
        </w:rPr>
        <w:t>，临床仍需新的有效安全的治疗AGA</w:t>
      </w:r>
      <w:r>
        <w:rPr>
          <w:rFonts w:hint="default" w:ascii="Times New Roman" w:hAnsi="Times New Roman" w:eastAsia="楷体" w:cs="楷体"/>
          <w:color w:val="auto"/>
          <w:sz w:val="24"/>
          <w:highlight w:val="none"/>
          <w:lang w:val="en-US" w:eastAsia="zh-CN"/>
        </w:rPr>
        <w:t>的治疗方案</w:t>
      </w:r>
      <w:r>
        <w:rPr>
          <w:rFonts w:hint="eastAsia" w:ascii="Times New Roman" w:hAnsi="Times New Roman" w:eastAsia="楷体" w:cs="楷体"/>
          <w:sz w:val="24"/>
          <w:szCs w:val="24"/>
          <w:lang w:val="en-US" w:eastAsia="zh-CN"/>
        </w:rPr>
        <w:t>。富血小板血浆( platelet-rich plasma，PRP)作为一个前景广阔的新型疗法，正广泛用于AGA的治疗</w:t>
      </w:r>
      <w:r>
        <w:rPr>
          <w:rFonts w:hint="eastAsia" w:ascii="Times New Roman" w:hAnsi="Times New Roman" w:eastAsia="楷体" w:cs="楷体"/>
          <w:sz w:val="24"/>
          <w:szCs w:val="24"/>
          <w:lang w:val="en-US" w:eastAsia="zh-CN"/>
        </w:rPr>
        <w:fldChar w:fldCharType="begin"/>
      </w:r>
      <w:r>
        <w:rPr>
          <w:rFonts w:hint="eastAsia" w:ascii="Times New Roman" w:hAnsi="Times New Roman" w:eastAsia="楷体" w:cs="楷体"/>
          <w:sz w:val="24"/>
          <w:szCs w:val="24"/>
          <w:lang w:val="en-US" w:eastAsia="zh-CN"/>
        </w:rPr>
        <w:instrText xml:space="preserve"> ADDIN NE.Ref.{6BCB2473-2FAD-4B14-89F4-438019950D26}</w:instrText>
      </w:r>
      <w:r>
        <w:rPr>
          <w:rFonts w:hint="eastAsia" w:ascii="Times New Roman" w:hAnsi="Times New Roman" w:eastAsia="楷体" w:cs="楷体"/>
          <w:sz w:val="24"/>
          <w:szCs w:val="24"/>
          <w:lang w:val="en-US" w:eastAsia="zh-CN"/>
        </w:rPr>
        <w:fldChar w:fldCharType="separate"/>
      </w:r>
      <w:r>
        <w:rPr>
          <w:rFonts w:hint="eastAsia" w:ascii="宋体" w:hAnsi="宋体"/>
          <w:color w:val="080000"/>
          <w:sz w:val="21"/>
          <w:szCs w:val="24"/>
        </w:rPr>
        <w:t>[7, 8]</w:t>
      </w:r>
      <w:r>
        <w:rPr>
          <w:rFonts w:hint="eastAsia" w:ascii="Times New Roman" w:hAnsi="Times New Roman" w:eastAsia="楷体" w:cs="楷体"/>
          <w:sz w:val="24"/>
          <w:szCs w:val="24"/>
          <w:lang w:val="en-US" w:eastAsia="zh-CN"/>
        </w:rPr>
        <w:fldChar w:fldCharType="end"/>
      </w:r>
      <w:r>
        <w:rPr>
          <w:rFonts w:hint="eastAsia" w:ascii="Times New Roman" w:hAnsi="Times New Roman" w:eastAsia="楷体" w:cs="楷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s="楷体"/>
          <w:color w:val="000000" w:themeColor="text1"/>
          <w:sz w:val="24"/>
          <w:szCs w:val="24"/>
          <w:lang w:val="en-US" w:eastAsia="zh-CN"/>
          <w14:textFill>
            <w14:solidFill>
              <w14:schemeClr w14:val="tx1"/>
            </w14:solidFill>
          </w14:textFill>
        </w:rPr>
      </w:pPr>
      <w:r>
        <w:rPr>
          <w:rFonts w:hint="eastAsia" w:ascii="Times New Roman" w:hAnsi="Times New Roman" w:eastAsia="楷体" w:cs="楷体"/>
          <w:color w:val="000000" w:themeColor="text1"/>
          <w:sz w:val="24"/>
          <w:szCs w:val="24"/>
          <w:lang w:val="en-US" w:eastAsia="zh-CN"/>
          <w14:textFill>
            <w14:solidFill>
              <w14:schemeClr w14:val="tx1"/>
            </w14:solidFill>
          </w14:textFill>
        </w:rPr>
        <w:t>富血小板血浆（Platelet-rich plasma，PRP）含有丰富的血小板，其数目比全血中数目高3倍以上。血小板中含有大量的生长因子，如血小板衍生生长因子（PDGF），转化生长因子-</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β(TGF-β</w:t>
      </w:r>
      <w:r>
        <w:rPr>
          <w:rFonts w:hint="eastAsia" w:ascii="Times New Roman" w:hAnsi="Times New Roman" w:eastAsia="楷体" w:cs="楷体"/>
          <w:color w:val="000000" w:themeColor="text1"/>
          <w:sz w:val="24"/>
          <w:szCs w:val="24"/>
          <w:lang w:val="en-US" w:eastAsia="zh-CN"/>
          <w14:textFill>
            <w14:solidFill>
              <w14:schemeClr w14:val="tx1"/>
            </w14:solidFill>
          </w14:textFill>
        </w:rPr>
        <w:t>)，类胰岛素生长因子</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楷体" w:cs="楷体"/>
          <w:color w:val="000000" w:themeColor="text1"/>
          <w:sz w:val="24"/>
          <w:szCs w:val="24"/>
          <w:lang w:val="en-US" w:eastAsia="zh-CN"/>
          <w14:textFill>
            <w14:solidFill>
              <w14:schemeClr w14:val="tx1"/>
            </w14:solidFill>
          </w14:textFill>
        </w:rPr>
        <w:t>IGF），表皮生长因子（EGF），血管内皮生长因子（VEGF）等，血小板中的生长因子被激活并被释放出来，进而促进组织的修复与再生</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szCs w:val="24"/>
          <w:lang w:val="en-US" w:eastAsia="zh-CN"/>
          <w14:textFill>
            <w14:solidFill>
              <w14:schemeClr w14:val="tx1"/>
            </w14:solidFill>
          </w14:textFill>
        </w:rPr>
        <w:instrText xml:space="preserve"> ADDIN NE.Ref.{62BD4E21-85DD-46C4-9C15-81279D661AB7}</w:instrTex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separate"/>
      </w:r>
      <w:r>
        <w:rPr>
          <w:rFonts w:hint="eastAsia" w:ascii="宋体" w:hAnsi="宋体"/>
          <w:color w:val="080000"/>
          <w:sz w:val="21"/>
          <w:szCs w:val="24"/>
        </w:rPr>
        <w:t>[9, 10]</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szCs w:val="24"/>
          <w:lang w:val="en-US" w:eastAsia="zh-CN"/>
          <w14:textFill>
            <w14:solidFill>
              <w14:schemeClr w14:val="tx1"/>
            </w14:solidFill>
          </w14:textFill>
        </w:rPr>
        <w:t>。根据PRP的来源不同分为自体PRP、同种异体PRP、脐带血PRP；使用不同类型的PRP可以对疾病进行更精细化的治疗，并取得更好的疗效</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szCs w:val="24"/>
          <w:lang w:val="en-US" w:eastAsia="zh-CN"/>
          <w14:textFill>
            <w14:solidFill>
              <w14:schemeClr w14:val="tx1"/>
            </w14:solidFill>
          </w14:textFill>
        </w:rPr>
        <w:instrText xml:space="preserve"> ADDIN NE.Ref.{F18D799D-9D5C-4D53-9735-376F523BB1AD}</w:instrTex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separate"/>
      </w:r>
      <w:r>
        <w:rPr>
          <w:rFonts w:hint="eastAsia" w:ascii="宋体" w:hAnsi="宋体"/>
          <w:color w:val="080000"/>
          <w:sz w:val="21"/>
          <w:szCs w:val="24"/>
        </w:rPr>
        <w:t>[11, 12]</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szCs w:val="24"/>
          <w:lang w:val="en-US" w:eastAsia="zh-CN"/>
          <w14:textFill>
            <w14:solidFill>
              <w14:schemeClr w14:val="tx1"/>
            </w14:solidFill>
          </w14:textFill>
        </w:rPr>
        <w:t>。近年来已有多个实验及临床研究证明自体PRP治疗AGA有效且安全</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szCs w:val="24"/>
          <w:lang w:val="en-US" w:eastAsia="zh-CN"/>
          <w14:textFill>
            <w14:solidFill>
              <w14:schemeClr w14:val="tx1"/>
            </w14:solidFill>
          </w14:textFill>
        </w:rPr>
        <w:instrText xml:space="preserve"> ADDIN NE.Ref.{891A2B46-BB08-4CEC-8583-506453824892}</w:instrTex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separate"/>
      </w:r>
      <w:r>
        <w:rPr>
          <w:rFonts w:hint="eastAsia" w:ascii="宋体" w:hAnsi="宋体"/>
          <w:color w:val="080000"/>
          <w:sz w:val="21"/>
          <w:szCs w:val="24"/>
        </w:rPr>
        <w:t>[13]</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szCs w:val="24"/>
          <w:lang w:val="en-US" w:eastAsia="zh-CN"/>
          <w14:textFill>
            <w14:solidFill>
              <w14:schemeClr w14:val="tx1"/>
            </w14:solidFill>
          </w14:textFill>
        </w:rPr>
        <w:t>；治疗方法除了单纯头皮下注射PRP，还衍生出PRP联合微针、药物、脂肪移植、低能量激光疗法等</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szCs w:val="24"/>
          <w:lang w:val="en-US" w:eastAsia="zh-CN"/>
          <w14:textFill>
            <w14:solidFill>
              <w14:schemeClr w14:val="tx1"/>
            </w14:solidFill>
          </w14:textFill>
        </w:rPr>
        <w:instrText xml:space="preserve"> ADDIN NE.Ref.{AF1E80CA-E12A-44CD-ABC2-FB0BC3B3B4F2}</w:instrTex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separate"/>
      </w:r>
      <w:r>
        <w:rPr>
          <w:rFonts w:hint="eastAsia" w:ascii="宋体" w:hAnsi="宋体"/>
          <w:color w:val="080000"/>
          <w:sz w:val="21"/>
          <w:szCs w:val="24"/>
        </w:rPr>
        <w:t>[14]</w:t>
      </w:r>
      <w:r>
        <w:rPr>
          <w:rFonts w:hint="eastAsia" w:ascii="Times New Roman" w:hAnsi="Times New Roman" w:eastAsia="楷体" w:cs="楷体"/>
          <w:color w:val="000000" w:themeColor="text1"/>
          <w:sz w:val="24"/>
          <w:szCs w:val="24"/>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szCs w:val="24"/>
          <w:lang w:val="en-US" w:eastAsia="zh-CN"/>
          <w14:textFill>
            <w14:solidFill>
              <w14:schemeClr w14:val="tx1"/>
            </w14:solidFill>
          </w14:textFill>
        </w:rPr>
        <w:t>。本文收治</w:t>
      </w:r>
      <w:r>
        <w:rPr>
          <w:rFonts w:hint="eastAsia" w:ascii="Times New Roman" w:hAnsi="Times New Roman" w:eastAsia="楷体" w:cs="楷体"/>
          <w:color w:val="000000" w:themeColor="text1"/>
          <w:sz w:val="24"/>
          <w:szCs w:val="24"/>
          <w:highlight w:val="none"/>
          <w:lang w:val="en-US" w:eastAsia="zh-CN"/>
          <w14:textFill>
            <w14:solidFill>
              <w14:schemeClr w14:val="tx1"/>
            </w14:solidFill>
          </w14:textFill>
        </w:rPr>
        <w:t>9例男性雄激素性脱发患者，采用头皮下注射PRP联合</w:t>
      </w:r>
      <w:r>
        <w:rPr>
          <w:rFonts w:hint="eastAsia" w:ascii="Times New Roman" w:hAnsi="Times New Roman" w:eastAsia="楷体" w:cs="楷体"/>
          <w:color w:val="000000" w:themeColor="text1"/>
          <w:sz w:val="24"/>
          <w:highlight w:val="none"/>
          <w14:textFill>
            <w14:solidFill>
              <w14:schemeClr w14:val="tx1"/>
            </w14:solidFill>
          </w14:textFill>
        </w:rPr>
        <w:t>5</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w:t>
      </w:r>
      <w:r>
        <w:rPr>
          <w:rFonts w:hint="eastAsia" w:ascii="Times New Roman" w:hAnsi="Times New Roman" w:eastAsia="楷体" w:cs="楷体"/>
          <w:color w:val="000000" w:themeColor="text1"/>
          <w:sz w:val="24"/>
          <w:highlight w:val="none"/>
          <w14:textFill>
            <w14:solidFill>
              <w14:schemeClr w14:val="tx1"/>
            </w14:solidFill>
          </w14:textFill>
        </w:rPr>
        <w:t>米诺地尔酊</w:t>
      </w:r>
      <w:r>
        <w:rPr>
          <w:rFonts w:hint="eastAsia" w:ascii="Times New Roman" w:hAnsi="Times New Roman" w:eastAsia="楷体" w:cs="楷体"/>
          <w:color w:val="000000" w:themeColor="text1"/>
          <w:sz w:val="24"/>
          <w:szCs w:val="24"/>
          <w:highlight w:val="none"/>
          <w:lang w:val="en-US" w:eastAsia="zh-CN"/>
          <w14:textFill>
            <w14:solidFill>
              <w14:schemeClr w14:val="tx1"/>
            </w14:solidFill>
          </w14:textFill>
        </w:rPr>
        <w:t>治疗3-6月，</w:t>
      </w:r>
      <w:r>
        <w:rPr>
          <w:rFonts w:hint="eastAsia" w:ascii="Times New Roman" w:hAnsi="Times New Roman" w:eastAsia="楷体" w:cs="楷体"/>
          <w:color w:val="000000" w:themeColor="text1"/>
          <w:sz w:val="24"/>
          <w:szCs w:val="24"/>
          <w:lang w:val="en-US" w:eastAsia="zh-CN"/>
          <w14:textFill>
            <w14:solidFill>
              <w14:schemeClr w14:val="tx1"/>
            </w14:solidFill>
          </w14:textFill>
        </w:rPr>
        <w:t>疗效满意，现报道如下。</w:t>
      </w:r>
    </w:p>
    <w:p>
      <w:pPr>
        <w:spacing w:line="360" w:lineRule="auto"/>
        <w:ind w:firstLine="480" w:firstLineChars="200"/>
        <w:rPr>
          <w:rFonts w:hint="eastAsia" w:ascii="Times New Roman" w:hAnsi="Times New Roman" w:eastAsia="楷体" w:cs="楷体"/>
          <w:color w:val="000000" w:themeColor="text1"/>
          <w:sz w:val="24"/>
          <w14:textFill>
            <w14:solidFill>
              <w14:schemeClr w14:val="tx1"/>
            </w14:solidFill>
          </w14:textFill>
        </w:rPr>
      </w:pPr>
    </w:p>
    <w:p>
      <w:pPr>
        <w:spacing w:line="360" w:lineRule="auto"/>
        <w:ind w:firstLine="0" w:firstLineChars="0"/>
        <w:rPr>
          <w:rFonts w:hint="eastAsia" w:ascii="Times New Roman" w:hAnsi="Times New Roman" w:eastAsia="楷体" w:cs="楷体"/>
          <w:b/>
          <w:bCs/>
          <w:color w:val="000000" w:themeColor="text1"/>
          <w:sz w:val="24"/>
          <w:highlight w:val="none"/>
          <w:lang w:val="en-US" w:eastAsia="zh-CN"/>
          <w14:textFill>
            <w14:solidFill>
              <w14:schemeClr w14:val="tx1"/>
            </w14:solidFill>
          </w14:textFill>
        </w:rPr>
      </w:pPr>
      <w:r>
        <w:rPr>
          <w:rFonts w:hint="eastAsia" w:ascii="Times New Roman" w:hAnsi="Times New Roman" w:eastAsia="楷体" w:cs="楷体"/>
          <w:b/>
          <w:bCs/>
          <w:color w:val="000000" w:themeColor="text1"/>
          <w:sz w:val="24"/>
          <w:lang w:val="en-US" w:eastAsia="zh-CN"/>
          <w14:textFill>
            <w14:solidFill>
              <w14:schemeClr w14:val="tx1"/>
            </w14:solidFill>
          </w14:textFill>
        </w:rPr>
        <w:t>材料与方法</w:t>
      </w:r>
    </w:p>
    <w:p>
      <w:pPr>
        <w:spacing w:line="360" w:lineRule="auto"/>
        <w:ind w:firstLine="480" w:firstLineChars="200"/>
        <w:rPr>
          <w:rFonts w:hint="eastAsia" w:ascii="Times New Roman" w:hAnsi="Times New Roman" w:eastAsia="楷体" w:cs="楷体"/>
          <w:color w:val="000000" w:themeColor="text1"/>
          <w:sz w:val="24"/>
          <w14:textFill>
            <w14:solidFill>
              <w14:schemeClr w14:val="tx1"/>
            </w14:solidFill>
          </w14:textFill>
        </w:rPr>
      </w:pPr>
      <w:r>
        <w:rPr>
          <w:rFonts w:hint="eastAsia" w:ascii="Times New Roman" w:hAnsi="Times New Roman" w:eastAsia="楷体" w:cs="楷体"/>
          <w:color w:val="000000" w:themeColor="text1"/>
          <w:sz w:val="24"/>
          <w:highlight w:val="none"/>
          <w14:textFill>
            <w14:solidFill>
              <w14:schemeClr w14:val="tx1"/>
            </w14:solidFill>
          </w14:textFill>
        </w:rPr>
        <w:t>1 临床资料  患者男</w:t>
      </w:r>
      <w:r>
        <w:rPr>
          <w:rFonts w:hint="eastAsia" w:ascii="Times New Roman" w:hAnsi="Times New Roman" w:eastAsia="楷体" w:cs="楷体"/>
          <w:color w:val="000000" w:themeColor="text1"/>
          <w:sz w:val="24"/>
          <w:lang w:val="en-US" w:eastAsia="zh-CN"/>
          <w14:textFill>
            <w14:solidFill>
              <w14:schemeClr w14:val="tx1"/>
            </w14:solidFill>
          </w14:textFill>
        </w:rPr>
        <w:t>性，</w:t>
      </w:r>
      <w:r>
        <w:rPr>
          <w:rFonts w:hint="eastAsia" w:ascii="Times New Roman" w:hAnsi="Times New Roman" w:eastAsia="楷体" w:cs="楷体"/>
          <w:color w:val="000000" w:themeColor="text1"/>
          <w:sz w:val="24"/>
          <w14:textFill>
            <w14:solidFill>
              <w14:schemeClr w14:val="tx1"/>
            </w14:solidFill>
          </w14:textFill>
        </w:rPr>
        <w:t>因“头部脱发”就诊。</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具代表性</w:t>
      </w:r>
      <w:r>
        <w:rPr>
          <w:rFonts w:hint="eastAsia" w:ascii="Times New Roman" w:hAnsi="Times New Roman" w:eastAsia="楷体" w:cs="楷体"/>
          <w:color w:val="000000" w:themeColor="text1"/>
          <w:sz w:val="24"/>
          <w:highlight w:val="none"/>
          <w14:textFill>
            <w14:solidFill>
              <w14:schemeClr w14:val="tx1"/>
            </w14:solidFill>
          </w14:textFill>
        </w:rPr>
        <w:t>患者</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1</w:t>
      </w:r>
      <w:r>
        <w:rPr>
          <w:rFonts w:hint="eastAsia" w:ascii="Times New Roman" w:hAnsi="Times New Roman" w:eastAsia="楷体" w:cs="楷体"/>
          <w:color w:val="000000" w:themeColor="text1"/>
          <w:sz w:val="24"/>
          <w:highlight w:val="none"/>
          <w14:textFill>
            <w14:solidFill>
              <w14:schemeClr w14:val="tx1"/>
            </w14:solidFill>
          </w14:textFill>
        </w:rPr>
        <w:t>头发从前额开始稀疏</w:t>
      </w:r>
      <w:r>
        <w:rPr>
          <w:rFonts w:hint="eastAsia" w:ascii="Times New Roman" w:hAnsi="Times New Roman" w:eastAsia="楷体" w:cs="楷体"/>
          <w:color w:val="000000" w:themeColor="text1"/>
          <w:sz w:val="24"/>
          <w:highlight w:val="none"/>
          <w:lang w:eastAsia="zh-CN"/>
          <w14:textFill>
            <w14:solidFill>
              <w14:schemeClr w14:val="tx1"/>
            </w14:solidFill>
          </w14:textFill>
        </w:rPr>
        <w:t>、</w:t>
      </w:r>
      <w:r>
        <w:rPr>
          <w:rFonts w:hint="eastAsia" w:ascii="Times New Roman" w:hAnsi="Times New Roman" w:eastAsia="楷体" w:cs="楷体"/>
          <w:color w:val="000000" w:themeColor="text1"/>
          <w:sz w:val="24"/>
          <w:highlight w:val="none"/>
          <w14:textFill>
            <w14:solidFill>
              <w14:schemeClr w14:val="tx1"/>
            </w14:solidFill>
          </w14:textFill>
        </w:rPr>
        <w:t>纤细，额部</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两侧发际线</w:t>
      </w:r>
      <w:r>
        <w:rPr>
          <w:rFonts w:hint="eastAsia" w:ascii="Times New Roman" w:hAnsi="Times New Roman" w:eastAsia="楷体" w:cs="楷体"/>
          <w:color w:val="000000" w:themeColor="text1"/>
          <w:sz w:val="24"/>
          <w:highlight w:val="none"/>
          <w14:textFill>
            <w14:solidFill>
              <w14:schemeClr w14:val="tx1"/>
            </w14:solidFill>
          </w14:textFill>
        </w:rPr>
        <w:t>向后退缩，呈“M”形</w:t>
      </w:r>
      <w:r>
        <w:rPr>
          <w:rFonts w:hint="eastAsia" w:ascii="Times New Roman" w:hAnsi="Times New Roman" w:eastAsia="楷体" w:cs="楷体"/>
          <w:color w:val="000000" w:themeColor="text1"/>
          <w:sz w:val="24"/>
          <w:highlight w:val="none"/>
          <w:lang w:eastAsia="zh-CN"/>
          <w14:textFill>
            <w14:solidFill>
              <w14:schemeClr w14:val="tx1"/>
            </w14:solidFill>
          </w14:textFill>
        </w:rPr>
        <w:t>；</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具代表性</w:t>
      </w:r>
      <w:r>
        <w:rPr>
          <w:rFonts w:hint="eastAsia" w:ascii="Times New Roman" w:hAnsi="Times New Roman" w:eastAsia="楷体" w:cs="楷体"/>
          <w:color w:val="000000" w:themeColor="text1"/>
          <w:sz w:val="24"/>
          <w:highlight w:val="none"/>
          <w14:textFill>
            <w14:solidFill>
              <w14:schemeClr w14:val="tx1"/>
            </w14:solidFill>
          </w14:textFill>
        </w:rPr>
        <w:t>患者</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2前额区头发密度显著降低，</w:t>
      </w:r>
      <w:r>
        <w:rPr>
          <w:rFonts w:hint="eastAsia" w:ascii="Times New Roman" w:hAnsi="Times New Roman" w:eastAsia="楷体" w:cs="楷体"/>
          <w:color w:val="000000" w:themeColor="text1"/>
          <w:sz w:val="24"/>
          <w:highlight w:val="none"/>
          <w14:textFill>
            <w14:solidFill>
              <w14:schemeClr w14:val="tx1"/>
            </w14:solidFill>
          </w14:textFill>
        </w:rPr>
        <w:t>呈“</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F</w:t>
      </w:r>
      <w:r>
        <w:rPr>
          <w:rFonts w:hint="eastAsia" w:ascii="Times New Roman" w:hAnsi="Times New Roman" w:eastAsia="楷体" w:cs="楷体"/>
          <w:color w:val="000000" w:themeColor="text1"/>
          <w:sz w:val="24"/>
          <w:highlight w:val="none"/>
          <w14:textFill>
            <w14:solidFill>
              <w14:schemeClr w14:val="tx1"/>
            </w14:solidFill>
          </w14:textFill>
        </w:rPr>
        <w:t>”形</w:t>
      </w:r>
      <w:r>
        <w:rPr>
          <w:rFonts w:hint="eastAsia" w:ascii="Times New Roman" w:hAnsi="Times New Roman" w:eastAsia="楷体" w:cs="楷体"/>
          <w:color w:val="000000" w:themeColor="text1"/>
          <w:sz w:val="24"/>
          <w:highlight w:val="none"/>
          <w:lang w:eastAsia="zh-CN"/>
          <w14:textFill>
            <w14:solidFill>
              <w14:schemeClr w14:val="tx1"/>
            </w14:solidFill>
          </w14:textFill>
        </w:rPr>
        <w:t>；</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具代表性</w:t>
      </w:r>
      <w:r>
        <w:rPr>
          <w:rFonts w:hint="eastAsia" w:ascii="Times New Roman" w:hAnsi="Times New Roman" w:eastAsia="楷体" w:cs="楷体"/>
          <w:color w:val="000000" w:themeColor="text1"/>
          <w:sz w:val="24"/>
          <w:highlight w:val="none"/>
          <w14:textFill>
            <w14:solidFill>
              <w14:schemeClr w14:val="tx1"/>
            </w14:solidFill>
          </w14:textFill>
        </w:rPr>
        <w:t>患者</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3发际线后退头顶至枕秃中1/3范围内，头发非常稀少或缺失，</w:t>
      </w:r>
      <w:r>
        <w:rPr>
          <w:rFonts w:hint="eastAsia" w:ascii="Times New Roman" w:hAnsi="Times New Roman" w:eastAsia="楷体" w:cs="楷体"/>
          <w:color w:val="000000" w:themeColor="text1"/>
          <w:sz w:val="24"/>
          <w:highlight w:val="none"/>
          <w14:textFill>
            <w14:solidFill>
              <w14:schemeClr w14:val="tx1"/>
            </w14:solidFill>
          </w14:textFill>
        </w:rPr>
        <w:t>呈“</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U</w:t>
      </w:r>
      <w:r>
        <w:rPr>
          <w:rFonts w:hint="eastAsia" w:ascii="Times New Roman" w:hAnsi="Times New Roman" w:eastAsia="楷体" w:cs="楷体"/>
          <w:color w:val="000000" w:themeColor="text1"/>
          <w:sz w:val="24"/>
          <w:highlight w:val="none"/>
          <w14:textFill>
            <w14:solidFill>
              <w14:schemeClr w14:val="tx1"/>
            </w14:solidFill>
          </w14:textFill>
        </w:rPr>
        <w:t>”形</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w:t>
      </w:r>
      <w:r>
        <w:rPr>
          <w:rFonts w:hint="eastAsia" w:ascii="Times New Roman" w:hAnsi="Times New Roman" w:eastAsia="楷体" w:cs="楷体"/>
          <w:color w:val="000000" w:themeColor="text1"/>
          <w:sz w:val="24"/>
          <w14:textFill>
            <w14:solidFill>
              <w14:schemeClr w14:val="tx1"/>
            </w14:solidFill>
          </w14:textFill>
        </w:rPr>
        <w:t>随年龄增长脱发</w:t>
      </w:r>
      <w:r>
        <w:rPr>
          <w:rFonts w:hint="eastAsia" w:ascii="Times New Roman" w:hAnsi="Times New Roman" w:eastAsia="楷体" w:cs="楷体"/>
          <w:color w:val="000000" w:themeColor="text1"/>
          <w:sz w:val="24"/>
          <w:lang w:val="en-US" w:eastAsia="zh-CN"/>
          <w14:textFill>
            <w14:solidFill>
              <w14:schemeClr w14:val="tx1"/>
            </w14:solidFill>
          </w14:textFill>
        </w:rPr>
        <w:t>进行</w:t>
      </w:r>
      <w:r>
        <w:rPr>
          <w:rFonts w:hint="eastAsia" w:ascii="Times New Roman" w:hAnsi="Times New Roman" w:eastAsia="楷体" w:cs="楷体"/>
          <w:color w:val="000000" w:themeColor="text1"/>
          <w:sz w:val="24"/>
          <w14:textFill>
            <w14:solidFill>
              <w14:schemeClr w14:val="tx1"/>
            </w14:solidFill>
          </w14:textFill>
        </w:rPr>
        <w:t>性加重，现自觉影响美观，遂来我</w:t>
      </w:r>
      <w:r>
        <w:rPr>
          <w:rFonts w:hint="eastAsia" w:ascii="Times New Roman" w:hAnsi="Times New Roman" w:eastAsia="楷体" w:cs="楷体"/>
          <w:color w:val="000000" w:themeColor="text1"/>
          <w:sz w:val="24"/>
          <w:lang w:val="en-US" w:eastAsia="zh-CN"/>
          <w14:textFill>
            <w14:solidFill>
              <w14:schemeClr w14:val="tx1"/>
            </w14:solidFill>
          </w14:textFill>
        </w:rPr>
        <w:t>院</w:t>
      </w:r>
      <w:r>
        <w:rPr>
          <w:rFonts w:hint="eastAsia" w:ascii="Times New Roman" w:hAnsi="Times New Roman" w:eastAsia="楷体" w:cs="楷体"/>
          <w:color w:val="000000" w:themeColor="text1"/>
          <w:sz w:val="24"/>
          <w14:textFill>
            <w14:solidFill>
              <w14:schemeClr w14:val="tx1"/>
            </w14:solidFill>
          </w14:textFill>
        </w:rPr>
        <w:t>要求治疗改善。患者既往无营养不良，外伤疤痕等病史，无药物过敏史，近</w:t>
      </w:r>
      <w:r>
        <w:rPr>
          <w:rFonts w:hint="eastAsia" w:ascii="Times New Roman" w:hAnsi="Times New Roman" w:eastAsia="楷体" w:cs="楷体"/>
          <w:color w:val="000000" w:themeColor="text1"/>
          <w:sz w:val="24"/>
          <w:lang w:eastAsia="zh-CN"/>
          <w14:textFill>
            <w14:solidFill>
              <w14:schemeClr w14:val="tx1"/>
            </w14:solidFill>
          </w14:textFill>
        </w:rPr>
        <w:t>1</w:t>
      </w:r>
      <w:r>
        <w:rPr>
          <w:rFonts w:hint="eastAsia" w:ascii="Times New Roman" w:hAnsi="Times New Roman" w:eastAsia="楷体" w:cs="楷体"/>
          <w:color w:val="000000" w:themeColor="text1"/>
          <w:sz w:val="24"/>
          <w14:textFill>
            <w14:solidFill>
              <w14:schemeClr w14:val="tx1"/>
            </w14:solidFill>
          </w14:textFill>
        </w:rPr>
        <w:t>个月内未口服凝血类、</w:t>
      </w:r>
      <w:r>
        <w:rPr>
          <w:rFonts w:hint="eastAsia" w:ascii="Times New Roman" w:hAnsi="Times New Roman" w:eastAsia="楷体" w:cs="楷体"/>
          <w:color w:val="000000" w:themeColor="text1"/>
          <w:sz w:val="24"/>
          <w:highlight w:val="none"/>
          <w14:textFill>
            <w14:solidFill>
              <w14:schemeClr w14:val="tx1"/>
            </w14:solidFill>
          </w14:textFill>
        </w:rPr>
        <w:t>激素类等药物。家族</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无</w:t>
      </w:r>
      <w:r>
        <w:rPr>
          <w:rFonts w:hint="eastAsia" w:ascii="Times New Roman" w:hAnsi="Times New Roman" w:eastAsia="楷体" w:cs="楷体"/>
          <w:color w:val="000000" w:themeColor="text1"/>
          <w:sz w:val="24"/>
          <w:highlight w:val="none"/>
          <w14:textFill>
            <w14:solidFill>
              <w14:schemeClr w14:val="tx1"/>
            </w14:solidFill>
          </w14:textFill>
        </w:rPr>
        <w:t>脱发史，曾使用生发产品，效果不佳。体</w:t>
      </w:r>
      <w:r>
        <w:rPr>
          <w:rFonts w:hint="eastAsia" w:ascii="Times New Roman" w:hAnsi="Times New Roman" w:eastAsia="楷体" w:cs="楷体"/>
          <w:color w:val="000000" w:themeColor="text1"/>
          <w:sz w:val="24"/>
          <w14:textFill>
            <w14:solidFill>
              <w14:schemeClr w14:val="tx1"/>
            </w14:solidFill>
          </w14:textFill>
        </w:rPr>
        <w:t>格检查：一般情况好，排除系统性疾病（心血管、自身免疫性疾病），其它影响头皮的疾病、血液病、肿瘤性疾病。辅助检查：皮肤镜示：毛发直径变细，毛囊内毛发减少、毳毛增多，毛囊口油脂堵塞</w:t>
      </w:r>
      <w:r>
        <w:rPr>
          <w:rFonts w:hint="eastAsia" w:ascii="Times New Roman" w:hAnsi="Times New Roman" w:eastAsia="楷体" w:cs="楷体"/>
          <w:color w:val="000000" w:themeColor="text1"/>
          <w:sz w:val="24"/>
          <w:lang w:eastAsia="zh-CN"/>
          <w14:textFill>
            <w14:solidFill>
              <w14:schemeClr w14:val="tx1"/>
            </w14:solidFill>
          </w14:textFill>
        </w:rPr>
        <w:t>；</w:t>
      </w:r>
      <w:r>
        <w:rPr>
          <w:rFonts w:hint="eastAsia" w:ascii="Times New Roman" w:hAnsi="Times New Roman" w:eastAsia="楷体" w:cs="楷体"/>
          <w:color w:val="000000" w:themeColor="text1"/>
          <w:sz w:val="24"/>
          <w:lang w:val="en-US" w:eastAsia="zh-CN"/>
          <w14:textFill>
            <w14:solidFill>
              <w14:schemeClr w14:val="tx1"/>
            </w14:solidFill>
          </w14:textFill>
        </w:rPr>
        <w:t>实验室检查：检查铁蛋白、血红蛋白、红细胞排除缺铁性贫血引起的脱发；检查甲状腺功能相关指标，排除甲亢/甲减引起的脱发</w:t>
      </w:r>
      <w:r>
        <w:rPr>
          <w:rFonts w:hint="eastAsia" w:ascii="Times New Roman" w:hAnsi="Times New Roman" w:eastAsia="楷体" w:cs="楷体"/>
          <w:color w:val="000000" w:themeColor="text1"/>
          <w:sz w:val="24"/>
          <w14:textFill>
            <w14:solidFill>
              <w14:schemeClr w14:val="tx1"/>
            </w14:solidFill>
          </w14:textFill>
        </w:rPr>
        <w:t>。</w:t>
      </w:r>
      <w:r>
        <w:rPr>
          <w:rFonts w:hint="eastAsia" w:ascii="Times New Roman" w:hAnsi="Times New Roman" w:eastAsia="楷体" w:cs="楷体"/>
          <w:color w:val="000000" w:themeColor="text1"/>
          <w:sz w:val="24"/>
          <w:lang w:val="en-US" w:eastAsia="zh-CN"/>
          <w14:textFill>
            <w14:solidFill>
              <w14:schemeClr w14:val="tx1"/>
            </w14:solidFill>
          </w14:textFill>
        </w:rPr>
        <w:t>最终</w:t>
      </w:r>
      <w:r>
        <w:rPr>
          <w:rFonts w:hint="eastAsia" w:ascii="Times New Roman" w:hAnsi="Times New Roman" w:eastAsia="楷体" w:cs="楷体"/>
          <w:color w:val="000000" w:themeColor="text1"/>
          <w:sz w:val="24"/>
          <w14:textFill>
            <w14:solidFill>
              <w14:schemeClr w14:val="tx1"/>
            </w14:solidFill>
          </w14:textFill>
        </w:rPr>
        <w:t>诊断为雄激素性脱发</w:t>
      </w:r>
      <w:r>
        <w:rPr>
          <w:rFonts w:hint="eastAsia" w:ascii="Times New Roman" w:hAnsi="Times New Roman" w:eastAsia="楷体" w:cs="楷体"/>
          <w:color w:val="000000" w:themeColor="text1"/>
          <w:sz w:val="24"/>
          <w:lang w:eastAsia="zh-CN"/>
          <w14:textFill>
            <w14:solidFill>
              <w14:schemeClr w14:val="tx1"/>
            </w14:solidFill>
          </w14:textFill>
        </w:rPr>
        <w:t>，</w:t>
      </w:r>
      <w:r>
        <w:rPr>
          <w:rFonts w:hint="eastAsia" w:ascii="Times New Roman" w:hAnsi="Times New Roman" w:eastAsia="楷体" w:cs="楷体"/>
          <w:color w:val="000000" w:themeColor="text1"/>
          <w:sz w:val="24"/>
          <w14:textFill>
            <w14:solidFill>
              <w14:schemeClr w14:val="tx1"/>
            </w14:solidFill>
          </w14:textFill>
        </w:rPr>
        <w:t>建议</w:t>
      </w:r>
      <w:r>
        <w:rPr>
          <w:rFonts w:hint="eastAsia" w:ascii="Times New Roman" w:hAnsi="Times New Roman" w:eastAsia="楷体" w:cs="楷体"/>
          <w:color w:val="000000" w:themeColor="text1"/>
          <w:sz w:val="24"/>
          <w:lang w:val="en-US" w:eastAsia="zh-CN"/>
          <w14:textFill>
            <w14:solidFill>
              <w14:schemeClr w14:val="tx1"/>
            </w14:solidFill>
          </w14:textFill>
        </w:rPr>
        <w:t>头皮下</w:t>
      </w:r>
      <w:r>
        <w:rPr>
          <w:rFonts w:hint="eastAsia" w:ascii="Times New Roman" w:hAnsi="Times New Roman" w:eastAsia="楷体" w:cs="楷体"/>
          <w:color w:val="000000" w:themeColor="text1"/>
          <w:sz w:val="24"/>
          <w14:textFill>
            <w14:solidFill>
              <w14:schemeClr w14:val="tx1"/>
            </w14:solidFill>
          </w14:textFill>
        </w:rPr>
        <w:t>注射</w:t>
      </w:r>
      <w:r>
        <w:rPr>
          <w:rFonts w:hint="eastAsia" w:ascii="Times New Roman" w:hAnsi="Times New Roman" w:eastAsia="楷体" w:cs="楷体"/>
          <w:color w:val="000000" w:themeColor="text1"/>
          <w:sz w:val="24"/>
          <w:lang w:val="en-US" w:eastAsia="zh-CN"/>
          <w14:textFill>
            <w14:solidFill>
              <w14:schemeClr w14:val="tx1"/>
            </w14:solidFill>
          </w14:textFill>
        </w:rPr>
        <w:t>自体PRP</w:t>
      </w:r>
      <w:r>
        <w:rPr>
          <w:rFonts w:hint="eastAsia" w:ascii="Times New Roman" w:hAnsi="Times New Roman" w:eastAsia="楷体" w:cs="楷体"/>
          <w:color w:val="000000" w:themeColor="text1"/>
          <w:sz w:val="24"/>
          <w14:textFill>
            <w14:solidFill>
              <w14:schemeClr w14:val="tx1"/>
            </w14:solidFill>
          </w14:textFill>
        </w:rPr>
        <w:t>配合外用米诺地尔酊治疗。</w:t>
      </w:r>
    </w:p>
    <w:p>
      <w:pPr>
        <w:spacing w:line="360" w:lineRule="auto"/>
        <w:ind w:firstLine="480" w:firstLineChars="200"/>
        <w:rPr>
          <w:rFonts w:hint="eastAsia" w:ascii="Times New Roman" w:hAnsi="Times New Roman" w:eastAsia="楷体" w:cs="楷体"/>
          <w:color w:val="FF0000"/>
          <w:sz w:val="24"/>
        </w:rPr>
      </w:pPr>
      <w:r>
        <w:rPr>
          <w:rFonts w:hint="eastAsia" w:ascii="Times New Roman" w:hAnsi="Times New Roman" w:eastAsia="楷体" w:cs="楷体"/>
          <w:color w:val="000000" w:themeColor="text1"/>
          <w:sz w:val="24"/>
          <w:highlight w:val="none"/>
          <w14:textFill>
            <w14:solidFill>
              <w14:schemeClr w14:val="tx1"/>
            </w14:solidFill>
          </w14:textFill>
        </w:rPr>
        <w:t>2 治疗方案</w:t>
      </w:r>
      <w:r>
        <w:rPr>
          <w:rFonts w:hint="eastAsia" w:ascii="Times New Roman" w:hAnsi="Times New Roman" w:eastAsia="楷体" w:cs="楷体"/>
          <w:color w:val="000000" w:themeColor="text1"/>
          <w:sz w:val="24"/>
          <w14:textFill>
            <w14:solidFill>
              <w14:schemeClr w14:val="tx1"/>
            </w14:solidFill>
          </w14:textFill>
        </w:rPr>
        <w:t xml:space="preserve">  与患者充分沟通交流后，患者接受脱发区注射</w:t>
      </w:r>
      <w:r>
        <w:rPr>
          <w:rFonts w:hint="eastAsia" w:ascii="Times New Roman" w:hAnsi="Times New Roman" w:eastAsia="楷体" w:cs="楷体"/>
          <w:color w:val="000000" w:themeColor="text1"/>
          <w:sz w:val="24"/>
          <w:lang w:val="en-US" w:eastAsia="zh-CN"/>
          <w14:textFill>
            <w14:solidFill>
              <w14:schemeClr w14:val="tx1"/>
            </w14:solidFill>
          </w14:textFill>
        </w:rPr>
        <w:t>自体PRP</w:t>
      </w:r>
      <w:r>
        <w:rPr>
          <w:rFonts w:hint="eastAsia" w:ascii="Times New Roman" w:hAnsi="Times New Roman" w:eastAsia="楷体" w:cs="楷体"/>
          <w:color w:val="000000" w:themeColor="text1"/>
          <w:sz w:val="24"/>
          <w14:textFill>
            <w14:solidFill>
              <w14:schemeClr w14:val="tx1"/>
            </w14:solidFill>
          </w14:textFill>
        </w:rPr>
        <w:t>配合外用5%米诺地尔酊治疗。告知可能治疗效果不佳，若有改善可视效果可能在</w:t>
      </w:r>
      <w:r>
        <w:rPr>
          <w:rFonts w:hint="eastAsia" w:ascii="Times New Roman" w:hAnsi="Times New Roman" w:eastAsia="楷体" w:cs="楷体"/>
          <w:color w:val="000000" w:themeColor="text1"/>
          <w:sz w:val="24"/>
          <w:lang w:val="en-US" w:eastAsia="zh-CN"/>
          <w14:textFill>
            <w14:solidFill>
              <w14:schemeClr w14:val="tx1"/>
            </w14:solidFill>
          </w14:textFill>
        </w:rPr>
        <w:t>3</w:t>
      </w:r>
      <w:r>
        <w:rPr>
          <w:rFonts w:hint="eastAsia" w:ascii="Times New Roman" w:hAnsi="Times New Roman" w:eastAsia="楷体" w:cs="楷体"/>
          <w:color w:val="000000" w:themeColor="text1"/>
          <w:sz w:val="24"/>
          <w14:textFill>
            <w14:solidFill>
              <w14:schemeClr w14:val="tx1"/>
            </w14:solidFill>
          </w14:textFill>
        </w:rPr>
        <w:t>个月后。</w:t>
      </w:r>
      <w:r>
        <w:rPr>
          <w:rFonts w:hint="eastAsia" w:ascii="Times New Roman" w:hAnsi="Times New Roman" w:eastAsia="楷体" w:cs="楷体"/>
          <w:color w:val="auto"/>
          <w:sz w:val="24"/>
        </w:rPr>
        <w:t>治疗周期设计：脱发开始治疗的首月</w:t>
      </w:r>
      <w:r>
        <w:rPr>
          <w:rFonts w:hint="eastAsia" w:ascii="Times New Roman" w:hAnsi="Times New Roman" w:eastAsia="楷体" w:cs="楷体"/>
          <w:color w:val="auto"/>
          <w:sz w:val="24"/>
          <w:lang w:val="en-US" w:eastAsia="zh-CN"/>
        </w:rPr>
        <w:t>首次</w:t>
      </w:r>
      <w:r>
        <w:rPr>
          <w:rFonts w:hint="eastAsia" w:ascii="Times New Roman" w:hAnsi="Times New Roman" w:eastAsia="楷体" w:cs="楷体"/>
          <w:color w:val="auto"/>
          <w:sz w:val="24"/>
        </w:rPr>
        <w:t>脱发区进行</w:t>
      </w:r>
      <w:r>
        <w:rPr>
          <w:rFonts w:hint="eastAsia" w:ascii="Times New Roman" w:hAnsi="Times New Roman" w:eastAsia="楷体" w:cs="楷体"/>
          <w:color w:val="auto"/>
          <w:sz w:val="24"/>
          <w:lang w:val="en-US" w:eastAsia="zh-CN"/>
        </w:rPr>
        <w:t>自体</w:t>
      </w:r>
      <w:r>
        <w:rPr>
          <w:rFonts w:hint="eastAsia" w:ascii="Times New Roman" w:hAnsi="Times New Roman" w:eastAsia="楷体" w:cs="楷体"/>
          <w:color w:val="auto"/>
          <w:sz w:val="24"/>
        </w:rPr>
        <w:t>PRP注射</w:t>
      </w:r>
      <w:r>
        <w:rPr>
          <w:rFonts w:hint="eastAsia" w:ascii="Times New Roman" w:hAnsi="Times New Roman" w:eastAsia="楷体" w:cs="楷体"/>
          <w:color w:val="auto"/>
          <w:sz w:val="24"/>
          <w:lang w:val="en-US" w:eastAsia="zh-CN"/>
        </w:rPr>
        <w:t>以及全程</w:t>
      </w:r>
      <w:r>
        <w:rPr>
          <w:rFonts w:hint="eastAsia" w:ascii="Times New Roman" w:hAnsi="Times New Roman" w:eastAsia="楷体" w:cs="楷体"/>
          <w:color w:val="auto"/>
          <w:sz w:val="24"/>
        </w:rPr>
        <w:t>配合外用米诺地尔酊治疗。接下来分别在</w:t>
      </w:r>
      <w:r>
        <w:rPr>
          <w:rFonts w:hint="eastAsia" w:ascii="Times New Roman" w:hAnsi="Times New Roman" w:eastAsia="楷体" w:cs="楷体"/>
          <w:color w:val="auto"/>
          <w:sz w:val="24"/>
          <w:lang w:val="en-US" w:eastAsia="zh-CN"/>
        </w:rPr>
        <w:t>1月</w:t>
      </w:r>
      <w:r>
        <w:rPr>
          <w:rFonts w:hint="eastAsia" w:ascii="Times New Roman" w:hAnsi="Times New Roman" w:eastAsia="楷体" w:cs="楷体"/>
          <w:color w:val="auto"/>
          <w:sz w:val="24"/>
        </w:rPr>
        <w:t>后、</w:t>
      </w:r>
      <w:r>
        <w:rPr>
          <w:rFonts w:hint="eastAsia" w:ascii="Times New Roman" w:hAnsi="Times New Roman" w:eastAsia="楷体" w:cs="楷体"/>
          <w:color w:val="auto"/>
          <w:sz w:val="24"/>
          <w:lang w:val="en-US" w:eastAsia="zh-CN"/>
        </w:rPr>
        <w:t>2月</w:t>
      </w:r>
      <w:r>
        <w:rPr>
          <w:rFonts w:hint="eastAsia" w:ascii="Times New Roman" w:hAnsi="Times New Roman" w:eastAsia="楷体" w:cs="楷体"/>
          <w:color w:val="auto"/>
          <w:sz w:val="24"/>
        </w:rPr>
        <w:t>后、</w:t>
      </w:r>
      <w:r>
        <w:rPr>
          <w:rFonts w:hint="eastAsia" w:ascii="Times New Roman" w:hAnsi="Times New Roman" w:eastAsia="楷体" w:cs="楷体"/>
          <w:color w:val="auto"/>
          <w:sz w:val="24"/>
          <w:lang w:val="en-US" w:eastAsia="zh-CN"/>
        </w:rPr>
        <w:t>3月</w:t>
      </w:r>
      <w:r>
        <w:rPr>
          <w:rFonts w:hint="eastAsia" w:ascii="Times New Roman" w:hAnsi="Times New Roman" w:eastAsia="楷体" w:cs="楷体"/>
          <w:color w:val="auto"/>
          <w:sz w:val="24"/>
        </w:rPr>
        <w:t>后</w:t>
      </w:r>
      <w:r>
        <w:rPr>
          <w:rFonts w:hint="eastAsia" w:ascii="Times New Roman" w:hAnsi="Times New Roman" w:eastAsia="楷体" w:cs="楷体"/>
          <w:color w:val="auto"/>
          <w:sz w:val="24"/>
          <w:lang w:eastAsia="zh-CN"/>
        </w:rPr>
        <w:t>、</w:t>
      </w:r>
      <w:r>
        <w:rPr>
          <w:rFonts w:hint="eastAsia" w:ascii="Times New Roman" w:hAnsi="Times New Roman" w:eastAsia="楷体" w:cs="楷体"/>
          <w:color w:val="auto"/>
          <w:sz w:val="24"/>
          <w:lang w:val="en-US" w:eastAsia="zh-CN"/>
        </w:rPr>
        <w:t>4月</w:t>
      </w:r>
      <w:r>
        <w:rPr>
          <w:rFonts w:hint="eastAsia" w:ascii="Times New Roman" w:hAnsi="Times New Roman" w:eastAsia="楷体" w:cs="楷体"/>
          <w:color w:val="auto"/>
          <w:sz w:val="24"/>
        </w:rPr>
        <w:t>后</w:t>
      </w:r>
      <w:r>
        <w:rPr>
          <w:rFonts w:hint="eastAsia" w:ascii="Times New Roman" w:hAnsi="Times New Roman" w:eastAsia="楷体" w:cs="楷体"/>
          <w:color w:val="auto"/>
          <w:sz w:val="24"/>
          <w:lang w:eastAsia="zh-CN"/>
        </w:rPr>
        <w:t>、</w:t>
      </w:r>
      <w:r>
        <w:rPr>
          <w:rFonts w:hint="eastAsia" w:ascii="Times New Roman" w:hAnsi="Times New Roman" w:eastAsia="楷体" w:cs="楷体"/>
          <w:color w:val="auto"/>
          <w:sz w:val="24"/>
          <w:lang w:val="en-US" w:eastAsia="zh-CN"/>
        </w:rPr>
        <w:t>5月</w:t>
      </w:r>
      <w:r>
        <w:rPr>
          <w:rFonts w:hint="eastAsia" w:ascii="Times New Roman" w:hAnsi="Times New Roman" w:eastAsia="楷体" w:cs="楷体"/>
          <w:color w:val="auto"/>
          <w:sz w:val="24"/>
        </w:rPr>
        <w:t>后</w:t>
      </w:r>
      <w:r>
        <w:rPr>
          <w:rFonts w:hint="eastAsia" w:ascii="Times New Roman" w:hAnsi="Times New Roman" w:eastAsia="楷体" w:cs="楷体"/>
          <w:color w:val="auto"/>
          <w:sz w:val="24"/>
          <w:lang w:eastAsia="zh-CN"/>
        </w:rPr>
        <w:t>、</w:t>
      </w:r>
      <w:r>
        <w:rPr>
          <w:rFonts w:hint="eastAsia" w:ascii="Times New Roman" w:hAnsi="Times New Roman" w:eastAsia="楷体" w:cs="楷体"/>
          <w:color w:val="auto"/>
          <w:sz w:val="24"/>
          <w:lang w:val="en-US" w:eastAsia="zh-CN"/>
        </w:rPr>
        <w:t>6月</w:t>
      </w:r>
      <w:r>
        <w:rPr>
          <w:rFonts w:hint="eastAsia" w:ascii="Times New Roman" w:hAnsi="Times New Roman" w:eastAsia="楷体" w:cs="楷体"/>
          <w:color w:val="auto"/>
          <w:sz w:val="24"/>
        </w:rPr>
        <w:t>后</w:t>
      </w:r>
      <w:r>
        <w:rPr>
          <w:rFonts w:hint="eastAsia" w:ascii="Times New Roman" w:hAnsi="Times New Roman" w:eastAsia="楷体" w:cs="楷体"/>
          <w:color w:val="auto"/>
          <w:sz w:val="24"/>
          <w:lang w:val="en-US" w:eastAsia="zh-CN"/>
        </w:rPr>
        <w:t>在</w:t>
      </w:r>
      <w:r>
        <w:rPr>
          <w:rFonts w:hint="eastAsia" w:ascii="Times New Roman" w:hAnsi="Times New Roman" w:eastAsia="楷体" w:cs="楷体"/>
          <w:color w:val="auto"/>
          <w:sz w:val="24"/>
        </w:rPr>
        <w:t>脱发区行</w:t>
      </w:r>
      <w:r>
        <w:rPr>
          <w:rFonts w:hint="eastAsia" w:ascii="Times New Roman" w:hAnsi="Times New Roman" w:eastAsia="楷体" w:cs="楷体"/>
          <w:color w:val="auto"/>
          <w:sz w:val="24"/>
          <w:lang w:val="en-US" w:eastAsia="zh-CN"/>
        </w:rPr>
        <w:t>自体</w:t>
      </w:r>
      <w:r>
        <w:rPr>
          <w:rFonts w:hint="eastAsia" w:ascii="Times New Roman" w:hAnsi="Times New Roman" w:eastAsia="楷体" w:cs="楷体"/>
          <w:color w:val="auto"/>
          <w:sz w:val="24"/>
        </w:rPr>
        <w:t>PRP注射治疗</w:t>
      </w:r>
      <w:r>
        <w:rPr>
          <w:rFonts w:hint="eastAsia" w:ascii="Times New Roman" w:hAnsi="Times New Roman" w:eastAsia="楷体" w:cs="楷体"/>
          <w:color w:val="auto"/>
          <w:sz w:val="24"/>
          <w:lang w:eastAsia="zh-CN"/>
        </w:rPr>
        <w:t>，</w:t>
      </w:r>
      <w:r>
        <w:rPr>
          <w:rFonts w:hint="eastAsia" w:ascii="Times New Roman" w:hAnsi="Times New Roman" w:eastAsia="楷体" w:cs="楷体"/>
          <w:color w:val="auto"/>
          <w:sz w:val="24"/>
          <w:lang w:val="en-US" w:eastAsia="zh-CN"/>
        </w:rPr>
        <w:t>治疗期间密切关注患者的头发生长情况以及是否有不良反应，</w:t>
      </w:r>
      <w:r>
        <w:rPr>
          <w:rFonts w:hint="eastAsia" w:ascii="Times New Roman" w:hAnsi="Times New Roman" w:eastAsia="楷体" w:cs="楷体"/>
          <w:color w:val="auto"/>
          <w:sz w:val="24"/>
        </w:rPr>
        <w:t>患者表示可以接受并配合方案治疗。</w:t>
      </w:r>
    </w:p>
    <w:p>
      <w:pPr>
        <w:spacing w:line="360" w:lineRule="auto"/>
        <w:ind w:firstLine="480" w:firstLineChars="200"/>
        <w:rPr>
          <w:rFonts w:hint="eastAsia" w:ascii="Times New Roman" w:hAnsi="Times New Roman" w:eastAsia="楷体" w:cs="楷体"/>
          <w:color w:val="auto"/>
          <w:sz w:val="24"/>
          <w:lang w:eastAsia="zh-CN"/>
        </w:rPr>
      </w:pPr>
      <w:r>
        <w:rPr>
          <w:rFonts w:hint="eastAsia" w:ascii="Times New Roman" w:hAnsi="Times New Roman" w:eastAsia="楷体" w:cs="楷体"/>
          <w:color w:val="auto"/>
          <w:sz w:val="24"/>
          <w:highlight w:val="none"/>
          <w:lang w:val="en-US" w:eastAsia="zh-CN"/>
        </w:rPr>
        <w:t>3</w:t>
      </w:r>
      <w:r>
        <w:rPr>
          <w:rFonts w:hint="eastAsia" w:ascii="Times New Roman" w:hAnsi="Times New Roman" w:eastAsia="楷体" w:cs="楷体"/>
          <w:color w:val="auto"/>
          <w:sz w:val="24"/>
          <w:highlight w:val="none"/>
        </w:rPr>
        <w:t xml:space="preserve"> </w:t>
      </w:r>
      <w:r>
        <w:rPr>
          <w:rFonts w:hint="eastAsia" w:ascii="Times New Roman" w:hAnsi="Times New Roman" w:eastAsia="楷体" w:cs="楷体"/>
          <w:color w:val="auto"/>
          <w:sz w:val="24"/>
          <w:highlight w:val="none"/>
          <w:lang w:val="en-US" w:eastAsia="zh-CN"/>
        </w:rPr>
        <w:t>自体PRP制备与注射</w:t>
      </w:r>
      <w:r>
        <w:rPr>
          <w:rFonts w:hint="eastAsia" w:ascii="Times New Roman" w:hAnsi="Times New Roman" w:eastAsia="楷体" w:cs="楷体"/>
          <w:color w:val="auto"/>
          <w:sz w:val="24"/>
        </w:rPr>
        <w:t xml:space="preserve">  </w:t>
      </w:r>
      <w:r>
        <w:rPr>
          <w:rFonts w:hint="eastAsia" w:ascii="Times New Roman" w:hAnsi="Times New Roman" w:eastAsia="楷体" w:cs="楷体"/>
          <w:color w:val="auto"/>
          <w:sz w:val="24"/>
          <w:lang w:val="en-US" w:eastAsia="zh-CN"/>
        </w:rPr>
        <w:t>方法1：使用血液成分分离机（型号：NGL XCF 3000）和一次性使用单采单采血液成分分离器（NIGALE,NO:221114）配套耗材进行机采自体PRP，平均收集350-500ml的血液即可收集40-50ml的自体PRP，使用XN2800仪器测定PRP中血小板的浓度后，将采集的PRP分装-80</w:t>
      </w:r>
      <w:r>
        <w:rPr>
          <w:rFonts w:hint="default" w:ascii="Times New Roman" w:hAnsi="Times New Roman" w:eastAsia="楷体" w:cs="Times New Roman"/>
          <w:color w:val="auto"/>
          <w:sz w:val="24"/>
          <w:lang w:val="en-US" w:eastAsia="zh-CN"/>
        </w:rPr>
        <w:t>℃</w:t>
      </w:r>
      <w:r>
        <w:rPr>
          <w:rFonts w:hint="eastAsia" w:ascii="Times New Roman" w:hAnsi="Times New Roman" w:eastAsia="楷体" w:cs="楷体"/>
          <w:color w:val="auto"/>
          <w:sz w:val="24"/>
          <w:lang w:val="en-US" w:eastAsia="zh-CN"/>
        </w:rPr>
        <w:t>保存备用。</w:t>
      </w:r>
      <w:r>
        <w:rPr>
          <w:rFonts w:hint="eastAsia" w:ascii="Times New Roman" w:hAnsi="Times New Roman" w:eastAsia="楷体" w:cs="楷体"/>
          <w:color w:val="auto"/>
          <w:sz w:val="24"/>
        </w:rPr>
        <w:t>清洁头皮消毒后，将</w:t>
      </w:r>
      <w:r>
        <w:rPr>
          <w:rFonts w:hint="eastAsia" w:ascii="Times New Roman" w:hAnsi="Times New Roman" w:eastAsia="楷体" w:cs="楷体"/>
          <w:color w:val="auto"/>
          <w:sz w:val="24"/>
          <w:lang w:val="en-US" w:eastAsia="zh-CN"/>
        </w:rPr>
        <w:t>5</w:t>
      </w:r>
      <w:r>
        <w:rPr>
          <w:rFonts w:hint="eastAsia" w:ascii="Times New Roman" w:hAnsi="Times New Roman" w:eastAsia="楷体" w:cs="楷体"/>
          <w:color w:val="auto"/>
          <w:sz w:val="24"/>
        </w:rPr>
        <w:t>ml无菌注射器抽取的PRP换</w:t>
      </w:r>
      <w:r>
        <w:rPr>
          <w:rFonts w:hint="default" w:ascii="Times New Roman" w:hAnsi="Times New Roman" w:eastAsia="楷体" w:cs="楷体"/>
          <w:color w:val="auto"/>
          <w:sz w:val="24"/>
          <w:lang w:val="en-US"/>
        </w:rPr>
        <w:t>9</w:t>
      </w:r>
      <w:r>
        <w:rPr>
          <w:rFonts w:hint="eastAsia" w:ascii="Times New Roman" w:hAnsi="Times New Roman" w:eastAsia="楷体" w:cs="楷体"/>
          <w:color w:val="auto"/>
          <w:sz w:val="24"/>
          <w:lang w:val="en-US" w:eastAsia="zh-CN"/>
        </w:rPr>
        <w:t>孔微针（</w:t>
      </w:r>
      <w:r>
        <w:rPr>
          <w:rFonts w:hint="default" w:ascii="Times New Roman" w:hAnsi="Times New Roman" w:eastAsia="楷体" w:cs="楷体"/>
          <w:color w:val="auto"/>
          <w:sz w:val="24"/>
          <w:lang w:val="en-US"/>
        </w:rPr>
        <w:t>pin scerw multi needle</w:t>
      </w:r>
      <w:r>
        <w:rPr>
          <w:rFonts w:hint="eastAsia" w:ascii="Times New Roman" w:hAnsi="Times New Roman" w:eastAsia="楷体" w:cs="楷体"/>
          <w:color w:val="auto"/>
          <w:sz w:val="24"/>
          <w:lang w:val="en-US" w:eastAsia="zh-CN"/>
        </w:rPr>
        <w:t>）</w:t>
      </w:r>
      <w:r>
        <w:rPr>
          <w:rFonts w:hint="eastAsia" w:ascii="Times New Roman" w:hAnsi="Times New Roman" w:eastAsia="楷体" w:cs="楷体"/>
          <w:color w:val="auto"/>
          <w:sz w:val="24"/>
        </w:rPr>
        <w:t>，</w:t>
      </w:r>
      <w:r>
        <w:rPr>
          <w:rFonts w:hint="eastAsia" w:ascii="Times New Roman" w:hAnsi="Times New Roman" w:eastAsia="楷体" w:cs="楷体"/>
          <w:color w:val="auto"/>
          <w:sz w:val="24"/>
          <w:lang w:val="en-US" w:eastAsia="zh-CN"/>
        </w:rPr>
        <w:t>利用配套Healthsea仪器调控将自体PRP均匀的</w:t>
      </w:r>
      <w:r>
        <w:rPr>
          <w:rFonts w:hint="eastAsia" w:ascii="Times New Roman" w:hAnsi="Times New Roman" w:eastAsia="楷体" w:cs="楷体"/>
          <w:color w:val="auto"/>
          <w:sz w:val="24"/>
        </w:rPr>
        <w:t>注射在脱发区</w:t>
      </w:r>
      <w:r>
        <w:rPr>
          <w:rFonts w:hint="eastAsia" w:ascii="Times New Roman" w:hAnsi="Times New Roman" w:eastAsia="楷体" w:cs="楷体"/>
          <w:color w:val="auto"/>
          <w:sz w:val="24"/>
          <w:lang w:eastAsia="zh-CN"/>
        </w:rPr>
        <w:t>。</w:t>
      </w: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0000FF"/>
          <w:sz w:val="24"/>
          <w:highlight w:val="none"/>
          <w:lang w:val="en-US" w:eastAsia="zh-CN"/>
        </w:rPr>
      </w:pPr>
    </w:p>
    <w:p>
      <w:pPr>
        <w:spacing w:line="360" w:lineRule="auto"/>
        <w:ind w:firstLine="0" w:firstLineChars="0"/>
        <w:rPr>
          <w:rFonts w:hint="eastAsia" w:ascii="Times New Roman" w:hAnsi="Times New Roman" w:eastAsia="楷体" w:cs="楷体"/>
          <w:b/>
          <w:bCs/>
          <w:color w:val="auto"/>
          <w:sz w:val="24"/>
          <w:highlight w:val="none"/>
          <w:lang w:val="en-US" w:eastAsia="zh-CN"/>
        </w:rPr>
      </w:pPr>
      <w:r>
        <w:rPr>
          <w:rFonts w:hint="eastAsia" w:ascii="Times New Roman" w:hAnsi="Times New Roman" w:eastAsia="楷体" w:cs="楷体"/>
          <w:b/>
          <w:bCs/>
          <w:color w:val="auto"/>
          <w:sz w:val="24"/>
          <w:highlight w:val="none"/>
          <w:lang w:val="en-US" w:eastAsia="zh-CN"/>
        </w:rPr>
        <w:t>结果</w:t>
      </w:r>
      <w:r>
        <w:rPr>
          <w:rFonts w:hint="eastAsia" w:ascii="Times New Roman" w:hAnsi="Times New Roman" w:eastAsia="楷体" w:cs="楷体"/>
          <w:b/>
          <w:bCs/>
          <w:color w:val="auto"/>
          <w:sz w:val="24"/>
          <w:highlight w:val="none"/>
        </w:rPr>
        <w:t xml:space="preserve">  </w:t>
      </w:r>
    </w:p>
    <w:p>
      <w:pPr>
        <w:spacing w:line="360" w:lineRule="auto"/>
        <w:ind w:left="719" w:leftChars="228" w:hanging="240" w:hangingChars="100"/>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图1：全血中血小板的平均浓度为190.1*10</w:t>
      </w:r>
      <w:r>
        <w:rPr>
          <w:rFonts w:hint="eastAsia" w:ascii="Times New Roman" w:hAnsi="Times New Roman" w:eastAsia="楷体" w:cs="楷体"/>
          <w:color w:val="auto"/>
          <w:sz w:val="24"/>
          <w:highlight w:val="none"/>
          <w:vertAlign w:val="superscript"/>
          <w:lang w:val="en-US" w:eastAsia="zh-CN"/>
        </w:rPr>
        <w:t>9</w:t>
      </w:r>
      <w:r>
        <w:rPr>
          <w:rFonts w:hint="eastAsia" w:ascii="Times New Roman" w:hAnsi="Times New Roman" w:eastAsia="楷体" w:cs="楷体"/>
          <w:color w:val="auto"/>
          <w:sz w:val="24"/>
          <w:highlight w:val="none"/>
          <w:lang w:val="en-US" w:eastAsia="zh-CN"/>
        </w:rPr>
        <w:t>/L，采集的自体PRP中血小板的平均浓度为453.9*10</w:t>
      </w:r>
      <w:r>
        <w:rPr>
          <w:rFonts w:hint="eastAsia" w:ascii="Times New Roman" w:hAnsi="Times New Roman" w:eastAsia="楷体" w:cs="楷体"/>
          <w:color w:val="auto"/>
          <w:sz w:val="24"/>
          <w:highlight w:val="none"/>
          <w:vertAlign w:val="superscript"/>
          <w:lang w:val="en-US" w:eastAsia="zh-CN"/>
        </w:rPr>
        <w:t>9</w:t>
      </w:r>
      <w:r>
        <w:rPr>
          <w:rFonts w:hint="eastAsia" w:ascii="Times New Roman" w:hAnsi="Times New Roman" w:eastAsia="楷体" w:cs="楷体"/>
          <w:color w:val="auto"/>
          <w:sz w:val="24"/>
          <w:highlight w:val="none"/>
          <w:lang w:val="en-US" w:eastAsia="zh-CN"/>
        </w:rPr>
        <w:t>/L，PRP中血小板浓度约为全血的2.4倍。</w:t>
      </w:r>
    </w:p>
    <w:p>
      <w:pPr>
        <w:spacing w:line="360" w:lineRule="auto"/>
        <w:ind w:left="689" w:leftChars="228" w:hanging="210" w:hangingChars="100"/>
      </w:pPr>
      <w:r>
        <w:rPr>
          <w:sz w:val="21"/>
        </w:rPr>
        <mc:AlternateContent>
          <mc:Choice Requires="wps">
            <w:drawing>
              <wp:anchor distT="0" distB="0" distL="114300" distR="114300" simplePos="0" relativeHeight="251659264" behindDoc="0" locked="0" layoutInCell="1" allowOverlap="1">
                <wp:simplePos x="0" y="0"/>
                <wp:positionH relativeFrom="column">
                  <wp:posOffset>435610</wp:posOffset>
                </wp:positionH>
                <wp:positionV relativeFrom="paragraph">
                  <wp:posOffset>3540760</wp:posOffset>
                </wp:positionV>
                <wp:extent cx="4772025" cy="675005"/>
                <wp:effectExtent l="0" t="0" r="0" b="1270"/>
                <wp:wrapNone/>
                <wp:docPr id="2" name="文本框 2"/>
                <wp:cNvGraphicFramePr/>
                <a:graphic xmlns:a="http://schemas.openxmlformats.org/drawingml/2006/main">
                  <a:graphicData uri="http://schemas.microsoft.com/office/word/2010/wordprocessingShape">
                    <wps:wsp>
                      <wps:cNvSpPr txBox="1"/>
                      <wps:spPr>
                        <a:xfrm>
                          <a:off x="1907540" y="6249670"/>
                          <a:ext cx="4772025" cy="675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left="719" w:leftChars="228" w:hanging="240" w:hangingChars="100"/>
                              <w:jc w:val="center"/>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图1：采集自体PRP。A：自体PRP的采集流程图。B：全血以及PRP中血小板的浓度。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pt;margin-top:278.8pt;height:53.15pt;width:375.75pt;z-index:251659264;mso-width-relative:page;mso-height-relative:page;" fillcolor="#FFFFFF [3201]" filled="t" stroked="f" coordsize="21600,21600" o:gfxdata="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n+PAdUAAAAK&#10;AQAADwAAAAAAAAABACAAAAAiAAAAZHJzL2Rvd25yZXYueG1sUEsBAhQAFAAAAAgAh07iQH1loAZY&#10;AgAAmwQAAA4AAAAAAAAAAQAgAAAAJAEAAGRycy9lMm9Eb2MueG1sUEsFBgAAAAAGAAYAWQEAAO4F&#10;AAAAAA==&#10;">
                <v:fill on="t" focussize="0,0"/>
                <v:stroke on="f" weight="0.5pt"/>
                <v:imagedata o:title=""/>
                <o:lock v:ext="edit" aspectratio="f"/>
                <v:textbox>
                  <w:txbxContent>
                    <w:p>
                      <w:pPr>
                        <w:spacing w:line="360" w:lineRule="auto"/>
                        <w:ind w:left="719" w:leftChars="228" w:hanging="240" w:hangingChars="100"/>
                        <w:jc w:val="center"/>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图1：采集自体PRP。A：自体PRP的采集流程图。B：全血以及PRP中血小板的浓度。</w:t>
                      </w:r>
                    </w:p>
                    <w:p/>
                  </w:txbxContent>
                </v:textbox>
              </v:shape>
            </w:pict>
          </mc:Fallback>
        </mc:AlternateContent>
      </w:r>
      <w:r>
        <w:drawing>
          <wp:inline distT="0" distB="0" distL="114300" distR="114300">
            <wp:extent cx="5268595" cy="3740150"/>
            <wp:effectExtent l="0" t="0" r="8255" b="317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4"/>
                    <a:stretch>
                      <a:fillRect/>
                    </a:stretch>
                  </pic:blipFill>
                  <pic:spPr>
                    <a:xfrm>
                      <a:off x="0" y="0"/>
                      <a:ext cx="5268595" cy="3740150"/>
                    </a:xfrm>
                    <a:prstGeom prst="rect">
                      <a:avLst/>
                    </a:prstGeom>
                    <a:noFill/>
                    <a:ln>
                      <a:noFill/>
                    </a:ln>
                  </pic:spPr>
                </pic:pic>
              </a:graphicData>
            </a:graphic>
          </wp:inline>
        </w:drawing>
      </w:r>
    </w:p>
    <w:p>
      <w:pPr>
        <w:spacing w:line="360" w:lineRule="auto"/>
        <w:ind w:left="689" w:leftChars="228" w:hanging="210" w:hangingChars="100"/>
      </w:pPr>
    </w:p>
    <w:p>
      <w:pPr>
        <w:spacing w:line="360" w:lineRule="auto"/>
        <w:ind w:left="689" w:leftChars="228" w:hanging="210" w:hangingChars="100"/>
      </w:pPr>
    </w:p>
    <w:p>
      <w:pPr>
        <w:spacing w:line="360" w:lineRule="auto"/>
        <w:ind w:left="689" w:leftChars="228" w:hanging="210" w:hangingChars="100"/>
      </w:pPr>
    </w:p>
    <w:p>
      <w:pPr>
        <w:spacing w:line="360" w:lineRule="auto"/>
        <w:ind w:left="689" w:leftChars="228" w:hanging="210" w:hangingChars="100"/>
      </w:pPr>
    </w:p>
    <w:p>
      <w:pPr>
        <w:spacing w:line="360" w:lineRule="auto"/>
        <w:ind w:left="689" w:leftChars="228" w:hanging="210" w:hangingChars="100"/>
        <w:rPr>
          <w:rFonts w:hint="default"/>
          <w:lang w:val="en-US" w:eastAsia="zh-CN"/>
        </w:rPr>
      </w:pPr>
    </w:p>
    <w:p>
      <w:pPr>
        <w:spacing w:line="360" w:lineRule="auto"/>
        <w:ind w:firstLine="420" w:firstLineChars="200"/>
        <w:rPr>
          <w:color w:val="auto"/>
        </w:rPr>
      </w:pPr>
    </w:p>
    <w:p>
      <w:pPr>
        <w:spacing w:line="360" w:lineRule="auto"/>
        <w:ind w:firstLine="420" w:firstLineChars="200"/>
        <w:rPr>
          <w:color w:val="auto"/>
        </w:rPr>
      </w:pPr>
    </w:p>
    <w:p>
      <w:pPr>
        <w:spacing w:line="360" w:lineRule="auto"/>
        <w:ind w:firstLine="480" w:firstLineChars="200"/>
        <w:rPr>
          <w:sz w:val="24"/>
        </w:rPr>
      </w:pPr>
    </w:p>
    <w:p>
      <w:pPr>
        <w:spacing w:line="360" w:lineRule="auto"/>
        <w:ind w:firstLine="480" w:firstLineChars="200"/>
        <w:rPr>
          <w:rFonts w:hint="eastAsia"/>
          <w:sz w:val="24"/>
          <w:lang w:val="en-US" w:eastAsia="zh-CN"/>
        </w:rPr>
      </w:pPr>
    </w:p>
    <w:p>
      <w:pPr>
        <w:spacing w:line="360" w:lineRule="auto"/>
        <w:ind w:firstLine="480" w:firstLineChars="200"/>
        <w:jc w:val="center"/>
        <w:rPr>
          <w:rFonts w:hint="eastAsia" w:ascii="Times New Roman" w:hAnsi="Times New Roman" w:eastAsia="楷体" w:cs="楷体"/>
          <w:color w:val="0000FF"/>
          <w:sz w:val="24"/>
          <w:highlight w:val="none"/>
          <w:lang w:val="en-US" w:eastAsia="zh-CN"/>
        </w:rPr>
      </w:pPr>
    </w:p>
    <w:p>
      <w:pPr>
        <w:spacing w:line="360" w:lineRule="auto"/>
        <w:ind w:firstLine="480" w:firstLineChars="200"/>
        <w:jc w:val="center"/>
        <w:rPr>
          <w:rFonts w:hint="eastAsia" w:ascii="Times New Roman" w:hAnsi="Times New Roman" w:eastAsia="楷体" w:cs="楷体"/>
          <w:color w:val="0000FF"/>
          <w:sz w:val="24"/>
          <w:highlight w:val="none"/>
          <w:lang w:val="en-US" w:eastAsia="zh-CN"/>
        </w:rPr>
      </w:pPr>
    </w:p>
    <w:p>
      <w:pPr>
        <w:spacing w:line="360" w:lineRule="auto"/>
        <w:ind w:firstLine="480" w:firstLineChars="200"/>
        <w:jc w:val="center"/>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图2：患者脱发区在注射术后1小时内可感觉暂时性头皮轻微疼痛；PRP治疗后自觉头皮油腻状态有所改善、掉发有所减缓、脱发区可见新发再生，患者基本满意改善效果，未观察到治疗后副作用。</w:t>
      </w:r>
    </w:p>
    <w:p>
      <w:pPr>
        <w:spacing w:line="360" w:lineRule="auto"/>
        <w:rPr>
          <w:rFonts w:hint="eastAsia" w:ascii="Times New Roman" w:hAnsi="Times New Roman" w:eastAsia="楷体" w:cs="楷体"/>
          <w:color w:val="0000FF"/>
          <w:sz w:val="24"/>
          <w:highlight w:val="none"/>
          <w:lang w:val="en-US" w:eastAsia="zh-CN"/>
        </w:rPr>
      </w:pPr>
      <w:r>
        <w:drawing>
          <wp:inline distT="0" distB="0" distL="114300" distR="114300">
            <wp:extent cx="3782695" cy="6918325"/>
            <wp:effectExtent l="0" t="0" r="8255" b="635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5"/>
                    <a:stretch>
                      <a:fillRect/>
                    </a:stretch>
                  </pic:blipFill>
                  <pic:spPr>
                    <a:xfrm>
                      <a:off x="0" y="0"/>
                      <a:ext cx="3782695" cy="6918325"/>
                    </a:xfrm>
                    <a:prstGeom prst="rect">
                      <a:avLst/>
                    </a:prstGeom>
                    <a:noFill/>
                    <a:ln>
                      <a:noFill/>
                    </a:ln>
                  </pic:spPr>
                </pic:pic>
              </a:graphicData>
            </a:graphic>
          </wp:inline>
        </w:drawing>
      </w:r>
    </w:p>
    <w:p>
      <w:pPr>
        <w:spacing w:line="360" w:lineRule="auto"/>
        <w:ind w:firstLine="420" w:firstLineChars="200"/>
        <w:jc w:val="left"/>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-116205</wp:posOffset>
                </wp:positionH>
                <wp:positionV relativeFrom="paragraph">
                  <wp:posOffset>76835</wp:posOffset>
                </wp:positionV>
                <wp:extent cx="4772025" cy="702310"/>
                <wp:effectExtent l="0" t="0" r="0" b="2540"/>
                <wp:wrapNone/>
                <wp:docPr id="3" name="文本框 3"/>
                <wp:cNvGraphicFramePr/>
                <a:graphic xmlns:a="http://schemas.openxmlformats.org/drawingml/2006/main">
                  <a:graphicData uri="http://schemas.microsoft.com/office/word/2010/wordprocessingShape">
                    <wps:wsp>
                      <wps:cNvSpPr txBox="1"/>
                      <wps:spPr>
                        <a:xfrm>
                          <a:off x="0" y="0"/>
                          <a:ext cx="4772025" cy="7023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left="719" w:leftChars="228" w:hanging="240" w:hangingChars="100"/>
                              <w:jc w:val="center"/>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图2：选择具代表性的大体图片。A：自体PRP促进AGA患者新发再生。B：PRP治疗前后的头发密度。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5pt;margin-top:6.05pt;height:55.3pt;width:375.75pt;z-index:251660288;mso-width-relative:page;mso-height-relative:page;" fillcolor="#FFFFFF [3201]" filled="t" stroked="f" coordsize="21600,21600" o:gfxdata="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pszZ9UAAAAKAQAADwAA&#10;AAAAAAABACAAAAAiAAAAZHJzL2Rvd25yZXYueG1sUEsBAhQAFAAAAAgAh07iQNzCr75SAgAAjwQA&#10;AA4AAAAAAAAAAQAgAAAAJAEAAGRycy9lMm9Eb2MueG1sUEsFBgAAAAAGAAYAWQEAAOgFAAAAAA==&#10;">
                <v:fill on="t" focussize="0,0"/>
                <v:stroke on="f" weight="0.5pt"/>
                <v:imagedata o:title=""/>
                <o:lock v:ext="edit" aspectratio="f"/>
                <v:textbox>
                  <w:txbxContent>
                    <w:p>
                      <w:pPr>
                        <w:spacing w:line="360" w:lineRule="auto"/>
                        <w:ind w:left="719" w:leftChars="228" w:hanging="240" w:hangingChars="100"/>
                        <w:jc w:val="center"/>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图2：选择具代表性的大体图片。A：自体PRP促进AGA患者新发再生。B：PRP治疗前后的头发密度。</w:t>
                      </w:r>
                    </w:p>
                    <w:p/>
                  </w:txbxContent>
                </v:textbox>
              </v:shape>
            </w:pict>
          </mc:Fallback>
        </mc:AlternateContent>
      </w:r>
    </w:p>
    <w:p>
      <w:pPr>
        <w:spacing w:line="360" w:lineRule="auto"/>
        <w:ind w:firstLine="420" w:firstLineChars="200"/>
        <w:jc w:val="left"/>
        <w:rPr>
          <w:rFonts w:hint="eastAsia"/>
          <w:lang w:val="en-US" w:eastAsia="zh-CN"/>
        </w:rPr>
      </w:pPr>
    </w:p>
    <w:p>
      <w:pPr>
        <w:spacing w:line="360" w:lineRule="auto"/>
        <w:ind w:firstLine="420" w:firstLineChars="200"/>
        <w:jc w:val="left"/>
        <w:rPr>
          <w:rFonts w:hint="eastAsia"/>
          <w:lang w:val="en-US" w:eastAsia="zh-CN"/>
        </w:rPr>
      </w:pPr>
    </w:p>
    <w:p>
      <w:pPr>
        <w:spacing w:line="360" w:lineRule="auto"/>
        <w:jc w:val="left"/>
        <w:rPr>
          <w:rFonts w:hint="default"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图3：皮肤镜结果显示，经过PRP治疗后整体毛发增多，</w:t>
      </w:r>
      <w:r>
        <w:rPr>
          <w:rFonts w:hint="eastAsia" w:ascii="Times New Roman" w:hAnsi="Times New Roman" w:eastAsia="楷体" w:cs="楷体"/>
          <w:color w:val="auto"/>
          <w:sz w:val="24"/>
        </w:rPr>
        <w:t>毛发直径变</w:t>
      </w:r>
      <w:r>
        <w:rPr>
          <w:rFonts w:hint="eastAsia" w:ascii="Times New Roman" w:hAnsi="Times New Roman" w:eastAsia="楷体" w:cs="楷体"/>
          <w:color w:val="auto"/>
          <w:sz w:val="24"/>
          <w:lang w:val="en-US" w:eastAsia="zh-CN"/>
        </w:rPr>
        <w:t>粗</w:t>
      </w:r>
      <w:r>
        <w:rPr>
          <w:rFonts w:hint="eastAsia" w:ascii="Times New Roman" w:hAnsi="Times New Roman" w:eastAsia="楷体" w:cs="楷体"/>
          <w:color w:val="auto"/>
          <w:sz w:val="24"/>
        </w:rPr>
        <w:t>，毛囊内毛发</w:t>
      </w:r>
      <w:r>
        <w:rPr>
          <w:rFonts w:hint="eastAsia" w:ascii="Times New Roman" w:hAnsi="Times New Roman" w:eastAsia="楷体" w:cs="楷体"/>
          <w:color w:val="auto"/>
          <w:sz w:val="24"/>
          <w:lang w:val="en-US" w:eastAsia="zh-CN"/>
        </w:rPr>
        <w:t>增多</w:t>
      </w:r>
      <w:r>
        <w:rPr>
          <w:rFonts w:hint="eastAsia" w:ascii="Times New Roman" w:hAnsi="Times New Roman" w:eastAsia="楷体" w:cs="楷体"/>
          <w:color w:val="auto"/>
          <w:sz w:val="24"/>
        </w:rPr>
        <w:t>、毛囊口油脂</w:t>
      </w:r>
      <w:r>
        <w:rPr>
          <w:rFonts w:hint="eastAsia" w:ascii="Times New Roman" w:hAnsi="Times New Roman" w:eastAsia="楷体" w:cs="楷体"/>
          <w:color w:val="auto"/>
          <w:sz w:val="24"/>
          <w:lang w:val="en-US" w:eastAsia="zh-CN"/>
        </w:rPr>
        <w:t>情况得到改善。</w:t>
      </w:r>
    </w:p>
    <w:p>
      <w:pPr>
        <w:spacing w:line="360" w:lineRule="auto"/>
        <w:ind w:firstLine="420" w:firstLineChars="200"/>
      </w:pPr>
      <w:r>
        <w:rPr>
          <w:sz w:val="21"/>
        </w:rPr>
        <mc:AlternateContent>
          <mc:Choice Requires="wps">
            <w:drawing>
              <wp:anchor distT="0" distB="0" distL="114300" distR="114300" simplePos="0" relativeHeight="251661312" behindDoc="0" locked="0" layoutInCell="1" allowOverlap="1">
                <wp:simplePos x="0" y="0"/>
                <wp:positionH relativeFrom="column">
                  <wp:posOffset>74295</wp:posOffset>
                </wp:positionH>
                <wp:positionV relativeFrom="paragraph">
                  <wp:posOffset>4536440</wp:posOffset>
                </wp:positionV>
                <wp:extent cx="4772025" cy="342265"/>
                <wp:effectExtent l="0" t="0" r="0" b="635"/>
                <wp:wrapNone/>
                <wp:docPr id="4" name="文本框 4"/>
                <wp:cNvGraphicFramePr/>
                <a:graphic xmlns:a="http://schemas.openxmlformats.org/drawingml/2006/main">
                  <a:graphicData uri="http://schemas.microsoft.com/office/word/2010/wordprocessingShape">
                    <wps:wsp>
                      <wps:cNvSpPr txBox="1"/>
                      <wps:spPr>
                        <a:xfrm>
                          <a:off x="0" y="0"/>
                          <a:ext cx="4772025"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left="719" w:leftChars="228" w:hanging="240" w:hangingChars="100"/>
                              <w:jc w:val="center"/>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图3：PRP改善AGA患者头发质量，图为皮肤镜检查。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5pt;margin-top:357.2pt;height:26.95pt;width:375.75pt;z-index:251661312;mso-width-relative:page;mso-height-relative:page;" fillcolor="#FFFFFF [3201]" filled="t" stroked="f" coordsize="21600,21600" o:gfxdata="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NkTsvVAAAACgEAAA8AAAAA&#10;AAAAAQAgAAAAIgAAAGRycy9kb3ducmV2LnhtbFBLAQIUABQAAAAIAIdO4kAkF0pQUAIAAI8EAAAO&#10;AAAAAAAAAAEAIAAAACQBAABkcnMvZTJvRG9jLnhtbFBLBQYAAAAABgAGAFkBAADmBQAAAAA=&#10;">
                <v:fill on="t" focussize="0,0"/>
                <v:stroke on="f" weight="0.5pt"/>
                <v:imagedata o:title=""/>
                <o:lock v:ext="edit" aspectratio="f"/>
                <v:textbox>
                  <w:txbxContent>
                    <w:p>
                      <w:pPr>
                        <w:spacing w:line="360" w:lineRule="auto"/>
                        <w:ind w:left="719" w:leftChars="228" w:hanging="240" w:hangingChars="100"/>
                        <w:jc w:val="center"/>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图3：PRP改善AGA患者头发质量，图为皮肤镜检查。</w:t>
                      </w:r>
                    </w:p>
                    <w:p/>
                  </w:txbxContent>
                </v:textbox>
              </v:shape>
            </w:pict>
          </mc:Fallback>
        </mc:AlternateContent>
      </w:r>
      <w:r>
        <w:drawing>
          <wp:inline distT="0" distB="0" distL="114300" distR="114300">
            <wp:extent cx="4238625" cy="4419600"/>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6"/>
                    <a:stretch>
                      <a:fillRect/>
                    </a:stretch>
                  </pic:blipFill>
                  <pic:spPr>
                    <a:xfrm>
                      <a:off x="0" y="0"/>
                      <a:ext cx="4238625" cy="4419600"/>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ind w:firstLine="480" w:firstLineChars="200"/>
        <w:rPr>
          <w:rFonts w:hint="eastAsia" w:ascii="Times New Roman" w:hAnsi="Times New Roman" w:eastAsia="楷体" w:cs="楷体"/>
          <w:color w:val="0000FF"/>
          <w:sz w:val="24"/>
          <w:highlight w:val="none"/>
          <w:lang w:val="en-US" w:eastAsia="zh-CN"/>
        </w:rPr>
      </w:pPr>
    </w:p>
    <w:p>
      <w:pPr>
        <w:spacing w:line="360" w:lineRule="auto"/>
        <w:rPr>
          <w:rFonts w:hint="default" w:ascii="Times New Roman" w:hAnsi="Times New Roman" w:eastAsia="楷体" w:cs="楷体"/>
          <w:color w:val="auto"/>
          <w:sz w:val="24"/>
          <w:highlight w:val="none"/>
          <w:lang w:val="en-US" w:eastAsia="zh-CN"/>
        </w:rPr>
      </w:pPr>
      <w:r>
        <w:rPr>
          <w:rFonts w:hint="eastAsia" w:ascii="Times New Roman" w:hAnsi="Times New Roman" w:eastAsia="楷体" w:cs="楷体"/>
          <w:color w:val="auto"/>
          <w:sz w:val="24"/>
          <w:highlight w:val="none"/>
          <w:lang w:val="en-US" w:eastAsia="zh-CN"/>
        </w:rPr>
        <w:t>表1：附加信息</w:t>
      </w:r>
    </w:p>
    <w:p>
      <w:pPr>
        <w:spacing w:line="360" w:lineRule="auto"/>
        <w:rPr>
          <w:rFonts w:hint="default" w:ascii="Times New Roman" w:hAnsi="Times New Roman" w:eastAsia="楷体" w:cs="楷体"/>
          <w:color w:val="0000FF"/>
          <w:sz w:val="24"/>
          <w:highlight w:val="none"/>
          <w:lang w:val="en-US" w:eastAsia="zh-CN"/>
        </w:rPr>
      </w:pPr>
      <w:r>
        <w:drawing>
          <wp:inline distT="0" distB="0" distL="114300" distR="114300">
            <wp:extent cx="5271135" cy="3192780"/>
            <wp:effectExtent l="0" t="0" r="5715" b="762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7"/>
                    <a:stretch>
                      <a:fillRect/>
                    </a:stretch>
                  </pic:blipFill>
                  <pic:spPr>
                    <a:xfrm>
                      <a:off x="0" y="0"/>
                      <a:ext cx="5271135" cy="3192780"/>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0" w:firstLineChars="0"/>
        <w:rPr>
          <w:rFonts w:hint="eastAsia" w:ascii="Times New Roman" w:hAnsi="Times New Roman" w:eastAsia="楷体" w:cs="楷体"/>
          <w:b/>
          <w:bCs/>
          <w:color w:val="auto"/>
          <w:sz w:val="24"/>
          <w:highlight w:val="none"/>
        </w:rPr>
      </w:pPr>
      <w:r>
        <w:rPr>
          <w:rFonts w:hint="eastAsia" w:ascii="Times New Roman" w:hAnsi="Times New Roman" w:eastAsia="楷体" w:cs="楷体"/>
          <w:b/>
          <w:bCs/>
          <w:color w:val="auto"/>
          <w:sz w:val="24"/>
          <w:highlight w:val="none"/>
          <w:lang w:val="en-US" w:eastAsia="zh-CN"/>
        </w:rPr>
        <w:t>讨论</w:t>
      </w:r>
      <w:r>
        <w:rPr>
          <w:rFonts w:hint="eastAsia" w:ascii="Times New Roman" w:hAnsi="Times New Roman" w:eastAsia="楷体" w:cs="楷体"/>
          <w:b/>
          <w:bCs/>
          <w:color w:val="auto"/>
          <w:sz w:val="24"/>
          <w:highlight w:val="none"/>
        </w:rPr>
        <w:t xml:space="preserve">  </w:t>
      </w:r>
    </w:p>
    <w:p>
      <w:pPr>
        <w:spacing w:line="360" w:lineRule="auto"/>
        <w:ind w:firstLine="480" w:firstLineChars="200"/>
        <w:rPr>
          <w:rFonts w:hint="eastAsia" w:ascii="Times New Roman" w:hAnsi="Times New Roman" w:eastAsia="楷体" w:cs="楷体"/>
          <w:color w:val="000000" w:themeColor="text1"/>
          <w:sz w:val="24"/>
          <w:highlight w:val="none"/>
          <w:lang w:val="en-US" w:eastAsia="zh-CN"/>
          <w14:textFill>
            <w14:solidFill>
              <w14:schemeClr w14:val="tx1"/>
            </w14:solidFill>
          </w14:textFill>
        </w:rPr>
      </w:pPr>
      <w:r>
        <w:rPr>
          <w:rFonts w:hint="eastAsia" w:ascii="Times New Roman" w:hAnsi="Times New Roman" w:eastAsia="楷体" w:cs="楷体"/>
          <w:color w:val="000000" w:themeColor="text1"/>
          <w:sz w:val="24"/>
          <w:highlight w:val="none"/>
          <w:lang w:val="en-US" w:eastAsia="zh-CN"/>
          <w14:textFill>
            <w14:solidFill>
              <w14:schemeClr w14:val="tx1"/>
            </w14:solidFill>
          </w14:textFill>
        </w:rPr>
        <w:t>AGA是由于二氢睾酮的表达增加导致毛囊对雄激素敏感异常</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highlight w:val="none"/>
          <w:lang w:val="en-US" w:eastAsia="zh-CN"/>
          <w14:textFill>
            <w14:solidFill>
              <w14:schemeClr w14:val="tx1"/>
            </w14:solidFill>
          </w14:textFill>
        </w:rPr>
        <w:instrText xml:space="preserve"> ADDIN NE.Ref.{1393B06C-C4C6-40F0-BB4A-81C710F13504}</w:instrTex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separate"/>
      </w:r>
      <w:r>
        <w:rPr>
          <w:rFonts w:hint="eastAsia" w:ascii="宋体" w:hAnsi="宋体"/>
          <w:color w:val="080000"/>
          <w:sz w:val="21"/>
          <w:szCs w:val="24"/>
          <w:highlight w:val="none"/>
        </w:rPr>
        <w:t>[15]</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highlight w:val="none"/>
          <w:lang w:val="en-US" w:eastAsia="zh-CN"/>
          <w14:textFill>
            <w14:solidFill>
              <w14:schemeClr w14:val="tx1"/>
            </w14:solidFill>
          </w14:textFill>
        </w:rPr>
        <w:t>。</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据报道，非那雄胺治疗AGA的副作用较强、米诺地尔需长期治疗，脱发严重影响患者的心身健康和生活质量。然而，AGA患者需要一种副作用最小、治疗时间短的方案。PRP由于其</w:t>
      </w:r>
      <w:bookmarkStart w:id="21" w:name="_GoBack"/>
      <w:bookmarkEnd w:id="21"/>
      <w:r>
        <w:rPr>
          <w:rFonts w:hint="default" w:ascii="Times New Roman" w:hAnsi="Times New Roman" w:eastAsia="楷体" w:cs="楷体"/>
          <w:color w:val="auto"/>
          <w:sz w:val="24"/>
          <w:highlight w:val="none"/>
          <w:lang w:val="en-US" w:eastAsia="zh-CN"/>
        </w:rPr>
        <w:t>简单可行</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、安全高效的性能，被广泛应用于各种临床领域，促进组织修复和再生。例如，关节腔内注射PRP，可缓解严重膝关节骨性关节炎患者的膝关节疼痛和改善膝关节功能</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highlight w:val="none"/>
          <w:lang w:val="en-US" w:eastAsia="zh-CN"/>
          <w14:textFill>
            <w14:solidFill>
              <w14:schemeClr w14:val="tx1"/>
            </w14:solidFill>
          </w14:textFill>
        </w:rPr>
        <w:instrText xml:space="preserve"> ADDIN NE.Ref.{1CBF9F78-A9B6-4DEB-83AA-DD2AF85FBD85}</w:instrTex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separate"/>
      </w:r>
      <w:r>
        <w:rPr>
          <w:rFonts w:hint="eastAsia" w:ascii="宋体" w:hAnsi="宋体"/>
          <w:color w:val="080000"/>
          <w:sz w:val="21"/>
          <w:szCs w:val="24"/>
        </w:rPr>
        <w:t>[16]</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highlight w:val="none"/>
          <w:lang w:val="en-US" w:eastAsia="zh-CN"/>
          <w14:textFill>
            <w14:solidFill>
              <w14:schemeClr w14:val="tx1"/>
            </w14:solidFill>
          </w14:textFill>
        </w:rPr>
        <w:t>；Nilforoushzadeh等认为，PRP中的各种信号蛋白和</w:t>
      </w:r>
      <w:r>
        <w:rPr>
          <w:rFonts w:hint="default" w:ascii="Times New Roman" w:hAnsi="Times New Roman" w:eastAsia="楷体" w:cs="Times New Roman"/>
          <w:color w:val="000000" w:themeColor="text1"/>
          <w:sz w:val="24"/>
          <w:highlight w:val="none"/>
          <w:lang w:val="en-US" w:eastAsia="zh-CN"/>
          <w14:textFill>
            <w14:solidFill>
              <w14:schemeClr w14:val="tx1"/>
            </w14:solidFill>
          </w14:textFill>
        </w:rPr>
        <w:t>PDGF、VEGF、TGF-β</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等生长因子促进头发再生和伤口愈合</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highlight w:val="none"/>
          <w:lang w:val="en-US" w:eastAsia="zh-CN"/>
          <w14:textFill>
            <w14:solidFill>
              <w14:schemeClr w14:val="tx1"/>
            </w14:solidFill>
          </w14:textFill>
        </w:rPr>
        <w:instrText xml:space="preserve"> ADDIN NE.Ref.{BC05798F-B4CB-4B82-8F57-9A70BB0032F2}</w:instrTex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separate"/>
      </w:r>
      <w:r>
        <w:rPr>
          <w:rFonts w:hint="eastAsia" w:ascii="宋体" w:hAnsi="宋体"/>
          <w:color w:val="080000"/>
          <w:sz w:val="21"/>
          <w:szCs w:val="24"/>
        </w:rPr>
        <w:t>[17]</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highlight w:val="none"/>
          <w:lang w:val="en-US" w:eastAsia="zh-CN"/>
          <w14:textFill>
            <w14:solidFill>
              <w14:schemeClr w14:val="tx1"/>
            </w14:solidFill>
          </w14:textFill>
        </w:rPr>
        <w:t>。Gentile等报道，自体PRP促进头发的生长，改善毛发质量</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begin"/>
      </w:r>
      <w:r>
        <w:rPr>
          <w:rFonts w:hint="eastAsia" w:ascii="Times New Roman" w:hAnsi="Times New Roman" w:eastAsia="楷体" w:cs="楷体"/>
          <w:color w:val="000000" w:themeColor="text1"/>
          <w:sz w:val="24"/>
          <w:highlight w:val="none"/>
          <w:lang w:val="en-US" w:eastAsia="zh-CN"/>
          <w14:textFill>
            <w14:solidFill>
              <w14:schemeClr w14:val="tx1"/>
            </w14:solidFill>
          </w14:textFill>
        </w:rPr>
        <w:instrText xml:space="preserve"> ADDIN NE.Ref.{CB3AD95B-F1FB-4803-BF7A-C71A160B0386}</w:instrTex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separate"/>
      </w:r>
      <w:r>
        <w:rPr>
          <w:rFonts w:hint="eastAsia" w:ascii="宋体" w:hAnsi="宋体"/>
          <w:color w:val="080000"/>
          <w:sz w:val="21"/>
          <w:szCs w:val="24"/>
        </w:rPr>
        <w:t>[18]</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fldChar w:fldCharType="end"/>
      </w:r>
      <w:r>
        <w:rPr>
          <w:rFonts w:hint="eastAsia" w:ascii="Times New Roman" w:hAnsi="Times New Roman" w:eastAsia="楷体" w:cs="楷体"/>
          <w:color w:val="000000" w:themeColor="text1"/>
          <w:sz w:val="24"/>
          <w:highlight w:val="none"/>
          <w:lang w:val="en-US" w:eastAsia="zh-CN"/>
          <w14:textFill>
            <w14:solidFill>
              <w14:schemeClr w14:val="tx1"/>
            </w14:solidFill>
          </w14:textFill>
        </w:rPr>
        <w:t>。鉴于这些研究发现，为了使PRP在临床上治疗疾病充分发挥其潜在功能，血小板被激活后所释放的多种细胞因子促进组织再生修复的确切机制仍需进一步阐明；特别是PRP制备/注射方法、研究样本量、基础研究等诸多问题仍需改进。</w:t>
      </w:r>
    </w:p>
    <w:p>
      <w:pPr>
        <w:spacing w:line="360" w:lineRule="auto"/>
        <w:ind w:firstLine="480" w:firstLineChars="200"/>
        <w:rPr>
          <w:rFonts w:hint="eastAsia" w:ascii="Times New Roman" w:hAnsi="Times New Roman" w:eastAsia="楷体" w:cs="楷体"/>
          <w:color w:val="auto"/>
          <w:sz w:val="24"/>
          <w:lang w:val="en-US" w:eastAsia="zh-CN"/>
        </w:rPr>
      </w:pPr>
      <w:r>
        <w:rPr>
          <w:rFonts w:hint="eastAsia" w:ascii="Times New Roman" w:hAnsi="Times New Roman" w:eastAsia="楷体" w:cs="楷体"/>
          <w:color w:val="000000" w:themeColor="text1"/>
          <w:sz w:val="24"/>
          <w:highlight w:val="none"/>
          <w:lang w:val="en-US" w:eastAsia="zh-CN"/>
          <w14:textFill>
            <w14:solidFill>
              <w14:schemeClr w14:val="tx1"/>
            </w14:solidFill>
          </w14:textFill>
        </w:rPr>
        <w:t>PRP的采集制备方法主要有试管法手工制备、成分血单采制备、PRP专用套装制备和标准血袋制备等多种方法。据报道，</w:t>
      </w:r>
      <w:r>
        <w:rPr>
          <w:rFonts w:hint="eastAsia" w:ascii="Times New Roman" w:hAnsi="Times New Roman" w:eastAsia="楷体" w:cs="楷体"/>
          <w:color w:val="auto"/>
          <w:sz w:val="24"/>
          <w:lang w:val="en-US" w:eastAsia="zh-CN"/>
        </w:rPr>
        <w:t>通过</w:t>
      </w:r>
      <w:r>
        <w:rPr>
          <w:rFonts w:hint="eastAsia" w:ascii="Times New Roman" w:hAnsi="Times New Roman" w:eastAsia="楷体" w:cs="楷体"/>
          <w:color w:val="auto"/>
          <w:sz w:val="24"/>
        </w:rPr>
        <w:t>采集静脉血至</w:t>
      </w:r>
      <w:r>
        <w:rPr>
          <w:rFonts w:hint="eastAsia" w:ascii="Times New Roman" w:hAnsi="Times New Roman" w:eastAsia="楷体" w:cs="楷体"/>
          <w:color w:val="auto"/>
          <w:sz w:val="24"/>
          <w:lang w:val="en-US" w:eastAsia="zh-CN"/>
        </w:rPr>
        <w:t>配套</w:t>
      </w:r>
      <w:r>
        <w:rPr>
          <w:rFonts w:hint="eastAsia" w:ascii="Times New Roman" w:hAnsi="Times New Roman" w:eastAsia="楷体" w:cs="楷体"/>
          <w:color w:val="auto"/>
          <w:sz w:val="24"/>
        </w:rPr>
        <w:t>制备装置中，采用</w:t>
      </w:r>
      <w:r>
        <w:rPr>
          <w:rFonts w:hint="eastAsia" w:ascii="Times New Roman" w:hAnsi="Times New Roman" w:eastAsia="楷体" w:cs="楷体"/>
          <w:color w:val="auto"/>
          <w:sz w:val="24"/>
          <w:lang w:val="en-US" w:eastAsia="zh-CN"/>
        </w:rPr>
        <w:t>2</w:t>
      </w:r>
      <w:r>
        <w:rPr>
          <w:rFonts w:hint="eastAsia" w:ascii="Times New Roman" w:hAnsi="Times New Roman" w:eastAsia="楷体" w:cs="楷体"/>
          <w:color w:val="auto"/>
          <w:sz w:val="24"/>
        </w:rPr>
        <w:t>次离心法制备PRP</w:t>
      </w:r>
      <w:r>
        <w:rPr>
          <w:rFonts w:hint="eastAsia" w:ascii="Times New Roman" w:hAnsi="Times New Roman" w:eastAsia="楷体" w:cs="楷体"/>
          <w:color w:val="auto"/>
          <w:sz w:val="24"/>
          <w:lang w:eastAsia="zh-CN"/>
        </w:rPr>
        <w:t>，</w:t>
      </w:r>
      <w:r>
        <w:rPr>
          <w:rFonts w:hint="eastAsia" w:ascii="Times New Roman" w:hAnsi="Times New Roman" w:eastAsia="楷体" w:cs="楷体"/>
          <w:color w:val="auto"/>
          <w:sz w:val="24"/>
          <w:lang w:val="en-US" w:eastAsia="zh-CN"/>
        </w:rPr>
        <w:t>制备时间较长、容易导致污染、采集相同血量收集的PRP较其他方式的少</w:t>
      </w:r>
      <w:r>
        <w:rPr>
          <w:rFonts w:hint="eastAsia" w:ascii="Times New Roman" w:hAnsi="Times New Roman" w:eastAsia="楷体" w:cs="楷体"/>
          <w:color w:val="auto"/>
          <w:sz w:val="24"/>
          <w:lang w:val="en-US" w:eastAsia="zh-CN"/>
        </w:rPr>
        <w:fldChar w:fldCharType="begin"/>
      </w:r>
      <w:r>
        <w:rPr>
          <w:rFonts w:hint="eastAsia" w:ascii="Times New Roman" w:hAnsi="Times New Roman" w:eastAsia="楷体" w:cs="楷体"/>
          <w:color w:val="auto"/>
          <w:sz w:val="24"/>
          <w:lang w:val="en-US" w:eastAsia="zh-CN"/>
        </w:rPr>
        <w:instrText xml:space="preserve"> ADDIN NE.Ref.{147B0F96-E1B2-46DF-B128-338562EC090C}</w:instrText>
      </w:r>
      <w:r>
        <w:rPr>
          <w:rFonts w:hint="eastAsia" w:ascii="Times New Roman" w:hAnsi="Times New Roman" w:eastAsia="楷体" w:cs="楷体"/>
          <w:color w:val="auto"/>
          <w:sz w:val="24"/>
          <w:lang w:val="en-US" w:eastAsia="zh-CN"/>
        </w:rPr>
        <w:fldChar w:fldCharType="separate"/>
      </w:r>
      <w:r>
        <w:rPr>
          <w:rFonts w:hint="eastAsia" w:ascii="宋体" w:hAnsi="宋体"/>
          <w:color w:val="080000"/>
          <w:sz w:val="21"/>
          <w:szCs w:val="24"/>
        </w:rPr>
        <w:t>[19, 20]</w:t>
      </w:r>
      <w:r>
        <w:rPr>
          <w:rFonts w:hint="eastAsia" w:ascii="Times New Roman" w:hAnsi="Times New Roman" w:eastAsia="楷体" w:cs="楷体"/>
          <w:color w:val="auto"/>
          <w:sz w:val="24"/>
          <w:lang w:val="en-US" w:eastAsia="zh-CN"/>
        </w:rPr>
        <w:fldChar w:fldCharType="end"/>
      </w:r>
      <w:r>
        <w:rPr>
          <w:rFonts w:hint="eastAsia" w:ascii="Times New Roman" w:hAnsi="Times New Roman" w:eastAsia="楷体" w:cs="楷体"/>
          <w:color w:val="auto"/>
          <w:sz w:val="24"/>
          <w:lang w:eastAsia="zh-CN"/>
        </w:rPr>
        <w:t>。</w:t>
      </w:r>
      <w:r>
        <w:rPr>
          <w:rFonts w:hint="eastAsia" w:ascii="Times New Roman" w:hAnsi="Times New Roman" w:eastAsia="楷体" w:cs="楷体"/>
          <w:color w:val="auto"/>
          <w:sz w:val="24"/>
          <w:lang w:val="en-US" w:eastAsia="zh-CN"/>
        </w:rPr>
        <w:t>然而，我们使用的血液成分分离机是应用先进的计算机技术、多领域的传感技术、输送液体不受污染的蠕动泵技术和血液离心分离技术，利用一次性配套耗材连接供血者，是实现血液的采集、离心式血液成分分离、血液成分回输的设备。特别是，利用血液成分分离机采集的血小板浓度较离心方式收集的高，仅需一针穿刺就可将PRP采集到收集袋中，其余部分回输给供血者，适用于临床上血浆/血小板的分离、采集。</w:t>
      </w:r>
    </w:p>
    <w:p>
      <w:pPr>
        <w:spacing w:line="360" w:lineRule="auto"/>
        <w:ind w:firstLine="480" w:firstLineChars="200"/>
        <w:rPr>
          <w:rFonts w:hint="default" w:ascii="Times New Roman" w:hAnsi="Times New Roman" w:eastAsia="楷体" w:cs="楷体"/>
          <w:color w:val="auto"/>
          <w:sz w:val="24"/>
          <w:lang w:val="en-US" w:eastAsia="zh-CN"/>
        </w:rPr>
      </w:pPr>
      <w:r>
        <w:rPr>
          <w:rFonts w:hint="eastAsia" w:ascii="Times New Roman" w:hAnsi="Times New Roman" w:eastAsia="楷体" w:cs="楷体"/>
          <w:color w:val="auto"/>
          <w:sz w:val="24"/>
          <w:lang w:val="en-US" w:eastAsia="zh-CN"/>
        </w:rPr>
        <w:t>Elaheh等研究使用23号针头将PRP和血小板凝胶混合物注射到脱发区域、皮内深度为1.5-2.5mm</w:t>
      </w:r>
      <w:r>
        <w:rPr>
          <w:rFonts w:hint="eastAsia" w:ascii="Times New Roman" w:hAnsi="Times New Roman" w:eastAsia="楷体" w:cs="楷体"/>
          <w:color w:val="auto"/>
          <w:sz w:val="24"/>
          <w:lang w:val="en-US" w:eastAsia="zh-CN"/>
        </w:rPr>
        <w:fldChar w:fldCharType="begin"/>
      </w:r>
      <w:r>
        <w:rPr>
          <w:rFonts w:hint="eastAsia" w:ascii="Times New Roman" w:hAnsi="Times New Roman" w:eastAsia="楷体" w:cs="楷体"/>
          <w:color w:val="auto"/>
          <w:sz w:val="24"/>
          <w:lang w:val="en-US" w:eastAsia="zh-CN"/>
        </w:rPr>
        <w:instrText xml:space="preserve"> ADDIN NE.Ref.{FF92ACEC-AC0E-4155-8F7D-FB812278BAA6}</w:instrText>
      </w:r>
      <w:r>
        <w:rPr>
          <w:rFonts w:hint="eastAsia" w:ascii="Times New Roman" w:hAnsi="Times New Roman" w:eastAsia="楷体" w:cs="楷体"/>
          <w:color w:val="auto"/>
          <w:sz w:val="24"/>
          <w:lang w:val="en-US" w:eastAsia="zh-CN"/>
        </w:rPr>
        <w:fldChar w:fldCharType="separate"/>
      </w:r>
      <w:r>
        <w:rPr>
          <w:rFonts w:hint="eastAsia" w:ascii="宋体" w:hAnsi="宋体"/>
          <w:color w:val="080000"/>
          <w:sz w:val="21"/>
          <w:szCs w:val="24"/>
        </w:rPr>
        <w:t>[21]</w:t>
      </w:r>
      <w:r>
        <w:rPr>
          <w:rFonts w:hint="eastAsia" w:ascii="Times New Roman" w:hAnsi="Times New Roman" w:eastAsia="楷体" w:cs="楷体"/>
          <w:color w:val="auto"/>
          <w:sz w:val="24"/>
          <w:lang w:val="en-US" w:eastAsia="zh-CN"/>
        </w:rPr>
        <w:fldChar w:fldCharType="end"/>
      </w:r>
      <w:r>
        <w:rPr>
          <w:rFonts w:hint="eastAsia" w:ascii="Times New Roman" w:hAnsi="Times New Roman" w:eastAsia="楷体" w:cs="楷体"/>
          <w:color w:val="auto"/>
          <w:sz w:val="24"/>
          <w:lang w:val="en-US" w:eastAsia="zh-CN"/>
        </w:rPr>
        <w:t>；这种注射方式存在穿刺深度不一致，穿刺面积不均匀等局限性，为此临床上相继研发出其他新的、安全的注射针头供选择。例如，</w:t>
      </w:r>
      <w:r>
        <w:rPr>
          <w:rFonts w:hint="eastAsia" w:ascii="Times New Roman" w:hAnsi="Times New Roman" w:eastAsia="楷体" w:cs="楷体"/>
          <w:color w:val="auto"/>
          <w:sz w:val="24"/>
        </w:rPr>
        <w:t>3ml无菌螺口注射器抽取的PRP换31G针头，</w:t>
      </w:r>
      <w:r>
        <w:rPr>
          <w:rFonts w:hint="eastAsia" w:ascii="Times New Roman" w:hAnsi="Times New Roman" w:eastAsia="楷体" w:cs="楷体"/>
          <w:color w:val="auto"/>
          <w:sz w:val="24"/>
          <w:highlight w:val="none"/>
          <w:lang w:val="en-US" w:eastAsia="zh-CN"/>
        </w:rPr>
        <w:t>患者脱发区在注射术后1小时内可见暂时性红斑，感觉头皮轻微疼痛；在本研究中，我们使用9孔微针，注射深度在4-6mm，利用配套的</w:t>
      </w:r>
      <w:r>
        <w:rPr>
          <w:rFonts w:hint="eastAsia" w:ascii="Times New Roman" w:hAnsi="Times New Roman" w:eastAsia="楷体" w:cs="楷体"/>
          <w:color w:val="auto"/>
          <w:sz w:val="24"/>
          <w:lang w:val="en-US" w:eastAsia="zh-CN"/>
        </w:rPr>
        <w:t>Healthsea仪器调控将PRP均匀的</w:t>
      </w:r>
      <w:r>
        <w:rPr>
          <w:rFonts w:hint="eastAsia" w:ascii="Times New Roman" w:hAnsi="Times New Roman" w:eastAsia="楷体" w:cs="楷体"/>
          <w:color w:val="auto"/>
          <w:sz w:val="24"/>
        </w:rPr>
        <w:t>注射在脱发区</w:t>
      </w:r>
      <w:r>
        <w:rPr>
          <w:rFonts w:hint="eastAsia" w:ascii="Times New Roman" w:hAnsi="Times New Roman" w:eastAsia="楷体" w:cs="楷体"/>
          <w:color w:val="auto"/>
          <w:sz w:val="24"/>
          <w:highlight w:val="none"/>
          <w:lang w:val="en-US" w:eastAsia="zh-CN"/>
        </w:rPr>
        <w:t>，明显缩短了PRP注射时间。</w:t>
      </w:r>
    </w:p>
    <w:p>
      <w:pPr>
        <w:spacing w:line="360" w:lineRule="auto"/>
        <w:ind w:firstLine="480" w:firstLineChars="200"/>
        <w:rPr>
          <w:rFonts w:hint="eastAsia" w:ascii="Times New Roman" w:hAnsi="Times New Roman" w:eastAsia="楷体" w:cs="楷体"/>
          <w:color w:val="000000" w:themeColor="text1"/>
          <w:sz w:val="24"/>
          <w:highlight w:val="none"/>
          <w:lang w:val="en-US" w:eastAsia="zh-CN"/>
          <w14:textFill>
            <w14:solidFill>
              <w14:schemeClr w14:val="tx1"/>
            </w14:solidFill>
          </w14:textFill>
        </w:rPr>
      </w:pPr>
      <w:r>
        <w:rPr>
          <w:rFonts w:hint="eastAsia" w:ascii="Times New Roman" w:hAnsi="Times New Roman" w:eastAsia="楷体" w:cs="楷体"/>
          <w:color w:val="000000" w:themeColor="text1"/>
          <w:sz w:val="24"/>
          <w:highlight w:val="none"/>
          <w:lang w:val="en-US" w:eastAsia="zh-CN"/>
          <w14:textFill>
            <w14:solidFill>
              <w14:schemeClr w14:val="tx1"/>
            </w14:solidFill>
          </w14:textFill>
        </w:rPr>
        <w:t>在本研究中，</w:t>
      </w:r>
      <w:r>
        <w:rPr>
          <w:rFonts w:hint="eastAsia" w:ascii="Times New Roman" w:hAnsi="Times New Roman" w:eastAsia="楷体" w:cs="楷体"/>
          <w:color w:val="000000" w:themeColor="text1"/>
          <w:sz w:val="24"/>
          <w14:textFill>
            <w14:solidFill>
              <w14:schemeClr w14:val="tx1"/>
            </w14:solidFill>
          </w14:textFill>
        </w:rPr>
        <w:t>脱发区注射</w:t>
      </w:r>
      <w:r>
        <w:rPr>
          <w:rFonts w:hint="eastAsia" w:ascii="Times New Roman" w:hAnsi="Times New Roman" w:eastAsia="楷体" w:cs="楷体"/>
          <w:color w:val="000000" w:themeColor="text1"/>
          <w:sz w:val="24"/>
          <w:lang w:val="en-US" w:eastAsia="zh-CN"/>
          <w14:textFill>
            <w14:solidFill>
              <w14:schemeClr w14:val="tx1"/>
            </w14:solidFill>
          </w14:textFill>
        </w:rPr>
        <w:t>自体PRP</w:t>
      </w:r>
      <w:r>
        <w:rPr>
          <w:rFonts w:hint="eastAsia" w:ascii="Times New Roman" w:hAnsi="Times New Roman" w:eastAsia="楷体" w:cs="楷体"/>
          <w:color w:val="000000" w:themeColor="text1"/>
          <w:sz w:val="24"/>
          <w14:textFill>
            <w14:solidFill>
              <w14:schemeClr w14:val="tx1"/>
            </w14:solidFill>
          </w14:textFill>
        </w:rPr>
        <w:t>配合外用5%米诺地尔酊治疗</w:t>
      </w:r>
      <w:r>
        <w:rPr>
          <w:rFonts w:hint="eastAsia" w:ascii="Times New Roman" w:hAnsi="Times New Roman" w:eastAsia="楷体" w:cs="楷体"/>
          <w:color w:val="000000" w:themeColor="text1"/>
          <w:sz w:val="24"/>
          <w:highlight w:val="none"/>
          <w:lang w:val="en-US" w:eastAsia="zh-CN"/>
          <w14:textFill>
            <w14:solidFill>
              <w14:schemeClr w14:val="tx1"/>
            </w14:solidFill>
          </w14:textFill>
        </w:rPr>
        <w:t>3个月后改善头皮油腻状态，掉发情况减少；3个月后脱发区可见新发再生，头发密度和发量逐步增加，头发直径及强韧度增加，我们的研究结果与之前的报道一致。此外，患者对PRP治疗后的改善效果比较满意，治疗期间未观察到自体PRP治疗后副作用；这表明，这种治疗的安全性有助于报告的高满意度水平。然而，我们的研究存在一些局限性，包括样本量和随访时间短、少数患者依从性差导致注射PRP间隔时间不一致。因此，必须进行随机对照试验，包括更大的队列和标准化的研究设计方案，客观地评估脱发的程度、治疗次数和间隔时间、血小板计数、激活方法和长期随访结果。</w:t>
      </w:r>
    </w:p>
    <w:p>
      <w:pPr>
        <w:spacing w:line="360" w:lineRule="auto"/>
        <w:ind w:firstLine="480" w:firstLineChars="200"/>
        <w:rPr>
          <w:rFonts w:hint="eastAsia" w:ascii="Times New Roman" w:hAnsi="Times New Roman" w:eastAsia="楷体" w:cs="楷体"/>
          <w:color w:val="auto"/>
          <w:sz w:val="24"/>
          <w:highlight w:val="none"/>
          <w:lang w:val="en-US" w:eastAsia="zh-CN"/>
        </w:rPr>
      </w:pPr>
      <w:r>
        <w:rPr>
          <w:rFonts w:hint="eastAsia" w:ascii="Times New Roman" w:hAnsi="Times New Roman" w:eastAsia="楷体" w:cs="楷体"/>
          <w:color w:val="000000" w:themeColor="text1"/>
          <w:sz w:val="24"/>
          <w:highlight w:val="none"/>
          <w:lang w:val="en-US" w:eastAsia="zh-CN"/>
          <w14:textFill>
            <w14:solidFill>
              <w14:schemeClr w14:val="tx1"/>
            </w14:solidFill>
          </w14:textFill>
        </w:rPr>
        <w:t>综上，自体PRP促进头发再生和调节免疫功能，对于头发稀疏的患者来说，这是一项临床治疗AGA潜在的有希望的方案。</w:t>
      </w:r>
    </w:p>
    <w:p>
      <w:pPr>
        <w:spacing w:line="360" w:lineRule="auto"/>
        <w:ind w:firstLine="480" w:firstLineChars="200"/>
        <w:rPr>
          <w:rFonts w:hint="default"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none"/>
          <w:lang w:val="en-US" w:eastAsia="zh-CN"/>
        </w:rPr>
      </w:pPr>
    </w:p>
    <w:p>
      <w:pPr>
        <w:spacing w:line="360" w:lineRule="auto"/>
        <w:ind w:firstLine="480" w:firstLineChars="200"/>
        <w:rPr>
          <w:rFonts w:hint="eastAsia" w:ascii="Times New Roman" w:hAnsi="Times New Roman" w:eastAsia="楷体" w:cs="楷体"/>
          <w:color w:val="auto"/>
          <w:sz w:val="24"/>
          <w:highlight w:val="darkGreen"/>
          <w:lang w:val="en-US" w:eastAsia="zh-CN"/>
        </w:rPr>
      </w:pPr>
    </w:p>
    <w:p>
      <w:pPr>
        <w:spacing w:line="360" w:lineRule="auto"/>
        <w:ind w:firstLine="480" w:firstLineChars="200"/>
        <w:rPr>
          <w:rFonts w:hint="default" w:ascii="Times New Roman" w:hAnsi="Times New Roman" w:eastAsia="楷体" w:cs="楷体"/>
          <w:color w:val="auto"/>
          <w:sz w:val="24"/>
          <w:highlight w:val="darkGreen"/>
          <w:lang w:val="en-US" w:eastAsia="zh-CN"/>
        </w:rPr>
      </w:pPr>
    </w:p>
    <w:p>
      <w:pPr>
        <w:spacing w:line="360" w:lineRule="auto"/>
        <w:ind w:firstLine="480" w:firstLineChars="200"/>
        <w:rPr>
          <w:rFonts w:hint="default" w:ascii="Times New Roman" w:hAnsi="Times New Roman" w:eastAsia="楷体" w:cs="楷体"/>
          <w:color w:val="auto"/>
          <w:sz w:val="24"/>
          <w:highlight w:val="none"/>
          <w:lang w:val="en-US" w:eastAsia="zh-CN"/>
        </w:rPr>
      </w:pPr>
    </w:p>
    <w:p>
      <w:pPr>
        <w:spacing w:line="360" w:lineRule="auto"/>
        <w:ind w:firstLine="480" w:firstLineChars="200"/>
        <w:rPr>
          <w:rFonts w:hint="default" w:ascii="Times New Roman" w:hAnsi="Times New Roman" w:eastAsia="楷体" w:cs="楷体"/>
          <w:color w:val="auto"/>
          <w:sz w:val="24"/>
          <w:lang w:val="en-US" w:eastAsia="zh-CN"/>
        </w:rPr>
      </w:pPr>
    </w:p>
    <w:p>
      <w:pPr>
        <w:spacing w:beforeLines="0" w:afterLines="0"/>
        <w:jc w:val="left"/>
        <w:rPr>
          <w:rFonts w:hint="default"/>
          <w:sz w:val="24"/>
          <w:szCs w:val="24"/>
        </w:rPr>
      </w:pPr>
      <w:r>
        <w:fldChar w:fldCharType="begin"/>
      </w:r>
      <w:r>
        <w:rPr>
          <w:rFonts w:hint="eastAsia"/>
          <w:lang w:eastAsia="zh-CN"/>
        </w:rPr>
        <w:instrText xml:space="preserve"> ADDIN NE.Rep</w:instrText>
      </w:r>
      <w:r>
        <w:fldChar w:fldCharType="separate"/>
      </w:r>
    </w:p>
    <w:p>
      <w:pPr>
        <w:spacing w:beforeLines="0" w:afterLines="0"/>
        <w:jc w:val="left"/>
      </w:pPr>
    </w:p>
    <w:p>
      <w:pPr>
        <w:spacing w:beforeLines="0" w:afterLines="0"/>
        <w:jc w:val="left"/>
      </w:pPr>
      <w:r>
        <w:fldChar w:fldCharType="end"/>
      </w: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pPr>
    </w:p>
    <w:p>
      <w:pPr>
        <w:spacing w:beforeLines="0" w:afterLines="0"/>
        <w:jc w:val="left"/>
        <w:rPr>
          <w:rFonts w:hint="default"/>
          <w:sz w:val="24"/>
          <w:szCs w:val="24"/>
        </w:rPr>
      </w:pPr>
      <w:r>
        <w:fldChar w:fldCharType="begin"/>
      </w:r>
      <w:r>
        <w:rPr>
          <w:rFonts w:hint="eastAsia"/>
          <w:lang w:eastAsia="zh-CN"/>
        </w:rPr>
        <w:instrText xml:space="preserve"> ADDIN NE.Bib</w:instrText>
      </w:r>
      <w:r>
        <w:fldChar w:fldCharType="separate"/>
      </w:r>
    </w:p>
    <w:p>
      <w:pPr>
        <w:spacing w:beforeLines="0" w:afterLines="0"/>
        <w:jc w:val="center"/>
        <w:rPr>
          <w:rFonts w:hint="default"/>
          <w:sz w:val="24"/>
          <w:szCs w:val="24"/>
        </w:rPr>
      </w:pPr>
      <w:r>
        <w:rPr>
          <w:rFonts w:hint="default" w:ascii="Times New Roman" w:hAnsi="Times New Roman" w:eastAsia="Times New Roman"/>
          <w:b/>
          <w:color w:val="000000"/>
          <w:sz w:val="40"/>
          <w:szCs w:val="24"/>
        </w:rPr>
        <w:t>References:</w:t>
      </w:r>
    </w:p>
    <w:p>
      <w:pPr>
        <w:spacing w:beforeLines="0" w:afterLines="0"/>
        <w:rPr>
          <w:rFonts w:hint="default"/>
          <w:sz w:val="24"/>
          <w:szCs w:val="24"/>
        </w:rPr>
      </w:pPr>
      <w:r>
        <w:rPr>
          <w:rFonts w:hint="default" w:ascii="Times New Roman" w:hAnsi="Times New Roman" w:eastAsia="Times New Roman"/>
          <w:color w:val="000000"/>
          <w:sz w:val="20"/>
          <w:szCs w:val="24"/>
        </w:rPr>
        <w:t xml:space="preserve"> [1].</w:t>
      </w:r>
      <w:r>
        <w:rPr>
          <w:rFonts w:hint="default" w:ascii="Times New Roman" w:hAnsi="Times New Roman" w:eastAsia="Times New Roman"/>
          <w:color w:val="000000"/>
          <w:sz w:val="20"/>
          <w:szCs w:val="24"/>
        </w:rPr>
        <w:tab/>
      </w:r>
      <w:bookmarkStart w:id="0" w:name="_neb99E874CD_072C_4DD2_919B_68AB39686AD6"/>
      <w:r>
        <w:rPr>
          <w:rFonts w:hint="default" w:ascii="Times New Roman" w:hAnsi="Times New Roman" w:eastAsia="Times New Roman"/>
          <w:color w:val="000000"/>
          <w:sz w:val="20"/>
          <w:szCs w:val="24"/>
        </w:rPr>
        <w:t>Dhariwala, M.Y. and P. Ravikumar, An overview of herbal alternatives in androgenetic alopecia. J Cosmet Dermatol, 2019. 18(4): p. 966-975.</w:t>
      </w:r>
      <w:bookmarkEnd w:id="0"/>
    </w:p>
    <w:p>
      <w:pPr>
        <w:spacing w:beforeLines="0" w:afterLines="0"/>
        <w:rPr>
          <w:rFonts w:hint="default"/>
          <w:sz w:val="24"/>
          <w:szCs w:val="24"/>
        </w:rPr>
      </w:pPr>
      <w:r>
        <w:rPr>
          <w:rFonts w:hint="default" w:ascii="Times New Roman" w:hAnsi="Times New Roman" w:eastAsia="Times New Roman"/>
          <w:color w:val="000000"/>
          <w:sz w:val="20"/>
          <w:szCs w:val="24"/>
        </w:rPr>
        <w:t xml:space="preserve"> [2].</w:t>
      </w:r>
      <w:r>
        <w:rPr>
          <w:rFonts w:hint="default" w:ascii="Times New Roman" w:hAnsi="Times New Roman" w:eastAsia="Times New Roman"/>
          <w:color w:val="000000"/>
          <w:sz w:val="20"/>
          <w:szCs w:val="24"/>
        </w:rPr>
        <w:tab/>
      </w:r>
      <w:bookmarkStart w:id="1" w:name="_nebB4144FF1_0EAA_48EC_A789_B1E0BEDA433C"/>
      <w:r>
        <w:rPr>
          <w:rFonts w:hint="default" w:ascii="Times New Roman" w:hAnsi="Times New Roman" w:eastAsia="Times New Roman"/>
          <w:color w:val="000000"/>
          <w:sz w:val="20"/>
          <w:szCs w:val="24"/>
        </w:rPr>
        <w:t>Gupta, A.K., M. Talukder and G. Williams, Comparison of oral minoxidil, finasteride, and dutasteride for treating  androgenetic alopecia. J Dermatolog Treat, 2022. 33(7): p. 2946-2962.</w:t>
      </w:r>
      <w:bookmarkEnd w:id="1"/>
    </w:p>
    <w:p>
      <w:pPr>
        <w:spacing w:beforeLines="0" w:afterLines="0"/>
        <w:rPr>
          <w:rFonts w:hint="default"/>
          <w:sz w:val="24"/>
          <w:szCs w:val="24"/>
        </w:rPr>
      </w:pPr>
      <w:r>
        <w:rPr>
          <w:rFonts w:hint="default" w:ascii="Times New Roman" w:hAnsi="Times New Roman" w:eastAsia="Times New Roman"/>
          <w:color w:val="000000"/>
          <w:sz w:val="20"/>
          <w:szCs w:val="24"/>
        </w:rPr>
        <w:t xml:space="preserve"> [3].</w:t>
      </w:r>
      <w:r>
        <w:rPr>
          <w:rFonts w:hint="default" w:ascii="Times New Roman" w:hAnsi="Times New Roman" w:eastAsia="Times New Roman"/>
          <w:color w:val="000000"/>
          <w:sz w:val="20"/>
          <w:szCs w:val="24"/>
        </w:rPr>
        <w:tab/>
      </w:r>
      <w:bookmarkStart w:id="2" w:name="_neb494C30AC_F37B_4842_BC2E_6F35CF08527E"/>
      <w:r>
        <w:rPr>
          <w:rFonts w:hint="default" w:ascii="Times New Roman" w:hAnsi="Times New Roman" w:eastAsia="Times New Roman"/>
          <w:color w:val="000000"/>
          <w:sz w:val="20"/>
          <w:szCs w:val="24"/>
        </w:rPr>
        <w:t>Arif, T., et al., Dutasteride in Androgenetic Alopecia: An Update. Curr Clin Pharmacol, 2017. 12(1): p. 31-35.</w:t>
      </w:r>
      <w:bookmarkEnd w:id="2"/>
    </w:p>
    <w:p>
      <w:pPr>
        <w:spacing w:beforeLines="0" w:afterLines="0"/>
        <w:rPr>
          <w:rFonts w:hint="default"/>
          <w:sz w:val="24"/>
          <w:szCs w:val="24"/>
        </w:rPr>
      </w:pPr>
      <w:r>
        <w:rPr>
          <w:rFonts w:hint="default" w:ascii="Times New Roman" w:hAnsi="Times New Roman" w:eastAsia="Times New Roman"/>
          <w:color w:val="000000"/>
          <w:sz w:val="20"/>
          <w:szCs w:val="24"/>
        </w:rPr>
        <w:t xml:space="preserve"> [4].</w:t>
      </w:r>
      <w:r>
        <w:rPr>
          <w:rFonts w:hint="default" w:ascii="Times New Roman" w:hAnsi="Times New Roman" w:eastAsia="Times New Roman"/>
          <w:color w:val="000000"/>
          <w:sz w:val="20"/>
          <w:szCs w:val="24"/>
        </w:rPr>
        <w:tab/>
      </w:r>
      <w:bookmarkStart w:id="3" w:name="_neb4C565568_0D28_4E3B_9916_13DB2030E2E9"/>
      <w:r>
        <w:rPr>
          <w:rFonts w:hint="default" w:ascii="Times New Roman" w:hAnsi="Times New Roman" w:eastAsia="Times New Roman"/>
          <w:color w:val="000000"/>
          <w:sz w:val="20"/>
          <w:szCs w:val="24"/>
        </w:rPr>
        <w:t>Kaiser, M., et al., Treatment of Androgenetic Alopecia: Current Guidance and Unmet Needs. Clin Cosmet Investig Dermatol, 2023. 16: p. 1387-1406.</w:t>
      </w:r>
      <w:bookmarkEnd w:id="3"/>
    </w:p>
    <w:p>
      <w:pPr>
        <w:spacing w:beforeLines="0" w:afterLines="0"/>
        <w:rPr>
          <w:rFonts w:hint="default"/>
          <w:sz w:val="24"/>
          <w:szCs w:val="24"/>
        </w:rPr>
      </w:pPr>
      <w:r>
        <w:rPr>
          <w:rFonts w:hint="default" w:ascii="Times New Roman" w:hAnsi="Times New Roman" w:eastAsia="Times New Roman"/>
          <w:color w:val="000000"/>
          <w:sz w:val="20"/>
          <w:szCs w:val="24"/>
        </w:rPr>
        <w:t xml:space="preserve"> [5].</w:t>
      </w:r>
      <w:r>
        <w:rPr>
          <w:rFonts w:hint="default" w:ascii="Times New Roman" w:hAnsi="Times New Roman" w:eastAsia="Times New Roman"/>
          <w:color w:val="000000"/>
          <w:sz w:val="20"/>
          <w:szCs w:val="24"/>
        </w:rPr>
        <w:tab/>
      </w:r>
      <w:bookmarkStart w:id="4" w:name="_nebB75B5DEB_88BD_4D30_A6E3_5141E450C59F"/>
      <w:r>
        <w:rPr>
          <w:rFonts w:hint="default" w:ascii="Times New Roman" w:hAnsi="Times New Roman" w:eastAsia="Times New Roman"/>
          <w:color w:val="000000"/>
          <w:sz w:val="20"/>
          <w:szCs w:val="24"/>
        </w:rPr>
        <w:t>Gupta, A.K., et al., Relative Efficacy of Minoxidil and the 5-alpha Reductase Inhibitors in Androgenetic  Alopecia Treatment of Male Patients: A Network Meta-analysis. JAMA Dermatol, 2022. 158(3): p. 266-274.</w:t>
      </w:r>
      <w:bookmarkEnd w:id="4"/>
    </w:p>
    <w:p>
      <w:pPr>
        <w:spacing w:beforeLines="0" w:afterLines="0"/>
        <w:rPr>
          <w:rFonts w:hint="default"/>
          <w:sz w:val="24"/>
          <w:szCs w:val="24"/>
        </w:rPr>
      </w:pPr>
      <w:r>
        <w:rPr>
          <w:rFonts w:hint="default" w:ascii="Times New Roman" w:hAnsi="Times New Roman" w:eastAsia="Times New Roman"/>
          <w:color w:val="000000"/>
          <w:sz w:val="20"/>
          <w:szCs w:val="24"/>
        </w:rPr>
        <w:t xml:space="preserve"> [6].</w:t>
      </w:r>
      <w:r>
        <w:rPr>
          <w:rFonts w:hint="default" w:ascii="Times New Roman" w:hAnsi="Times New Roman" w:eastAsia="Times New Roman"/>
          <w:color w:val="000000"/>
          <w:sz w:val="20"/>
          <w:szCs w:val="24"/>
        </w:rPr>
        <w:tab/>
      </w:r>
      <w:bookmarkStart w:id="5" w:name="_neb97A36AE5_6FF5_495A_B0BA_15B1B7D4BC1A"/>
      <w:r>
        <w:rPr>
          <w:rFonts w:hint="default" w:ascii="Times New Roman" w:hAnsi="Times New Roman" w:eastAsia="Times New Roman"/>
          <w:color w:val="000000"/>
          <w:sz w:val="20"/>
          <w:szCs w:val="24"/>
        </w:rPr>
        <w:t>Marks, D.H., et al., Topical Antiandrogen Therapies for Androgenetic Alopecia and Acne Vulgaris. Am J Clin Dermatol, 2020. 21(2): p. 245-254.</w:t>
      </w:r>
      <w:bookmarkEnd w:id="5"/>
    </w:p>
    <w:p>
      <w:pPr>
        <w:spacing w:beforeLines="0" w:afterLines="0"/>
        <w:rPr>
          <w:rFonts w:hint="default"/>
          <w:sz w:val="24"/>
          <w:szCs w:val="24"/>
        </w:rPr>
      </w:pPr>
      <w:r>
        <w:rPr>
          <w:rFonts w:hint="default" w:ascii="Times New Roman" w:hAnsi="Times New Roman" w:eastAsia="Times New Roman"/>
          <w:color w:val="000000"/>
          <w:sz w:val="20"/>
          <w:szCs w:val="24"/>
        </w:rPr>
        <w:t xml:space="preserve"> [7].</w:t>
      </w:r>
      <w:r>
        <w:rPr>
          <w:rFonts w:hint="default" w:ascii="Times New Roman" w:hAnsi="Times New Roman" w:eastAsia="Times New Roman"/>
          <w:color w:val="000000"/>
          <w:sz w:val="20"/>
          <w:szCs w:val="24"/>
        </w:rPr>
        <w:tab/>
      </w:r>
      <w:bookmarkStart w:id="6" w:name="_neb19C49FC3_E384_4C0D_981F_431EF41E221A"/>
      <w:r>
        <w:rPr>
          <w:rFonts w:hint="default" w:ascii="Times New Roman" w:hAnsi="Times New Roman" w:eastAsia="Times New Roman"/>
          <w:color w:val="000000"/>
          <w:sz w:val="20"/>
          <w:szCs w:val="24"/>
        </w:rPr>
        <w:t>Cruciani, M., et al., Platelet-rich plasma for the treatment of alopecia: a systematic review and  meta-analysis. Blood Transfus, 2023. 21(1): p. 24-36.</w:t>
      </w:r>
      <w:bookmarkEnd w:id="6"/>
    </w:p>
    <w:p>
      <w:pPr>
        <w:spacing w:beforeLines="0" w:afterLines="0"/>
        <w:rPr>
          <w:rFonts w:hint="default"/>
          <w:sz w:val="24"/>
          <w:szCs w:val="24"/>
        </w:rPr>
      </w:pPr>
      <w:r>
        <w:rPr>
          <w:rFonts w:hint="default" w:ascii="Times New Roman" w:hAnsi="Times New Roman" w:eastAsia="Times New Roman"/>
          <w:color w:val="000000"/>
          <w:sz w:val="20"/>
          <w:szCs w:val="24"/>
        </w:rPr>
        <w:t xml:space="preserve"> [8].</w:t>
      </w:r>
      <w:r>
        <w:rPr>
          <w:rFonts w:hint="default" w:ascii="Times New Roman" w:hAnsi="Times New Roman" w:eastAsia="Times New Roman"/>
          <w:color w:val="000000"/>
          <w:sz w:val="20"/>
          <w:szCs w:val="24"/>
        </w:rPr>
        <w:tab/>
      </w:r>
      <w:bookmarkStart w:id="7" w:name="_neb8B38244A_55D8_49F6_BD21_A54350F89F22"/>
      <w:r>
        <w:rPr>
          <w:rFonts w:hint="default" w:ascii="Times New Roman" w:hAnsi="Times New Roman" w:eastAsia="Times New Roman"/>
          <w:color w:val="000000"/>
          <w:sz w:val="20"/>
          <w:szCs w:val="24"/>
        </w:rPr>
        <w:t>Evans, A.G., et al., Platelet-rich plasma as a therapy for androgenic alopecia: a systematic review  and meta-analysis. J Dermatolog Treat, 2022. 33(1): p. 498-511.</w:t>
      </w:r>
      <w:bookmarkEnd w:id="7"/>
    </w:p>
    <w:p>
      <w:pPr>
        <w:spacing w:beforeLines="0" w:afterLines="0"/>
        <w:rPr>
          <w:rFonts w:hint="default"/>
          <w:sz w:val="24"/>
          <w:szCs w:val="24"/>
        </w:rPr>
      </w:pPr>
      <w:r>
        <w:rPr>
          <w:rFonts w:hint="default" w:ascii="Times New Roman" w:hAnsi="Times New Roman" w:eastAsia="Times New Roman"/>
          <w:color w:val="000000"/>
          <w:sz w:val="20"/>
          <w:szCs w:val="24"/>
        </w:rPr>
        <w:t xml:space="preserve"> [9].</w:t>
      </w:r>
      <w:r>
        <w:rPr>
          <w:rFonts w:hint="default" w:ascii="Times New Roman" w:hAnsi="Times New Roman" w:eastAsia="Times New Roman"/>
          <w:color w:val="000000"/>
          <w:sz w:val="20"/>
          <w:szCs w:val="24"/>
        </w:rPr>
        <w:tab/>
      </w:r>
      <w:bookmarkStart w:id="8" w:name="_nebFC93B5C8_7B4B_4387_917F_B9F132A72153"/>
      <w:r>
        <w:rPr>
          <w:rFonts w:hint="default" w:ascii="Times New Roman" w:hAnsi="Times New Roman" w:eastAsia="Times New Roman"/>
          <w:color w:val="000000"/>
          <w:sz w:val="20"/>
          <w:szCs w:val="24"/>
        </w:rPr>
        <w:t>Niemann, M., et al., Individual immune cell and cytokine profiles determine platelet-rich plasma  composition. Arthritis Res Ther, 2023. 25(1): p. 6.</w:t>
      </w:r>
      <w:bookmarkEnd w:id="8"/>
    </w:p>
    <w:p>
      <w:pPr>
        <w:spacing w:beforeLines="0" w:afterLines="0"/>
        <w:rPr>
          <w:rFonts w:hint="default"/>
          <w:sz w:val="24"/>
          <w:szCs w:val="24"/>
        </w:rPr>
      </w:pPr>
      <w:r>
        <w:rPr>
          <w:rFonts w:hint="default" w:ascii="Times New Roman" w:hAnsi="Times New Roman" w:eastAsia="Times New Roman"/>
          <w:color w:val="000000"/>
          <w:sz w:val="20"/>
          <w:szCs w:val="24"/>
        </w:rPr>
        <w:t>[10].</w:t>
      </w:r>
      <w:r>
        <w:rPr>
          <w:rFonts w:hint="default" w:ascii="Times New Roman" w:hAnsi="Times New Roman" w:eastAsia="Times New Roman"/>
          <w:color w:val="000000"/>
          <w:sz w:val="20"/>
          <w:szCs w:val="24"/>
        </w:rPr>
        <w:tab/>
      </w:r>
      <w:bookmarkStart w:id="9" w:name="_neb33F061DB_5736_4D7E_8573_EDD02038C71E"/>
      <w:r>
        <w:rPr>
          <w:rFonts w:hint="default" w:ascii="Times New Roman" w:hAnsi="Times New Roman" w:eastAsia="Times New Roman"/>
          <w:color w:val="000000"/>
          <w:sz w:val="20"/>
          <w:szCs w:val="24"/>
        </w:rPr>
        <w:t>Liang, X., et al., Phase transitions during compression and decompression of clots from  platelet-poor plasma, platelet-rich plasma and whole blood. Acta Biomater, 2017. 60: p. 275-290.</w:t>
      </w:r>
      <w:bookmarkEnd w:id="9"/>
    </w:p>
    <w:p>
      <w:pPr>
        <w:spacing w:beforeLines="0" w:afterLines="0"/>
        <w:rPr>
          <w:rFonts w:hint="default"/>
          <w:sz w:val="24"/>
          <w:szCs w:val="24"/>
        </w:rPr>
      </w:pPr>
      <w:r>
        <w:rPr>
          <w:rFonts w:hint="default" w:ascii="Times New Roman" w:hAnsi="Times New Roman" w:eastAsia="Times New Roman"/>
          <w:color w:val="000000"/>
          <w:sz w:val="20"/>
          <w:szCs w:val="24"/>
        </w:rPr>
        <w:t>[11].</w:t>
      </w:r>
      <w:r>
        <w:rPr>
          <w:rFonts w:hint="default" w:ascii="Times New Roman" w:hAnsi="Times New Roman" w:eastAsia="Times New Roman"/>
          <w:color w:val="000000"/>
          <w:sz w:val="20"/>
          <w:szCs w:val="24"/>
        </w:rPr>
        <w:tab/>
      </w:r>
      <w:bookmarkStart w:id="10" w:name="_neb08C47798_E710_42C5_AD51_F6E3D6E9E8F9"/>
      <w:r>
        <w:rPr>
          <w:rFonts w:hint="default" w:ascii="Times New Roman" w:hAnsi="Times New Roman" w:eastAsia="Times New Roman"/>
          <w:color w:val="000000"/>
          <w:sz w:val="20"/>
          <w:szCs w:val="24"/>
        </w:rPr>
        <w:t>Anitua, E., et al., Platelet-rich plasma: are the obtaining methods, classification and clinical  outcome always connected? Regen Med, 2022. 17(12): p. 887-890.</w:t>
      </w:r>
      <w:bookmarkEnd w:id="10"/>
    </w:p>
    <w:p>
      <w:pPr>
        <w:spacing w:beforeLines="0" w:afterLines="0"/>
        <w:rPr>
          <w:rFonts w:hint="default"/>
          <w:sz w:val="24"/>
          <w:szCs w:val="24"/>
        </w:rPr>
      </w:pPr>
      <w:r>
        <w:rPr>
          <w:rFonts w:hint="default" w:ascii="Times New Roman" w:hAnsi="Times New Roman" w:eastAsia="Times New Roman"/>
          <w:color w:val="000000"/>
          <w:sz w:val="20"/>
          <w:szCs w:val="24"/>
        </w:rPr>
        <w:t>[12].</w:t>
      </w:r>
      <w:r>
        <w:rPr>
          <w:rFonts w:hint="default" w:ascii="Times New Roman" w:hAnsi="Times New Roman" w:eastAsia="Times New Roman"/>
          <w:color w:val="000000"/>
          <w:sz w:val="20"/>
          <w:szCs w:val="24"/>
        </w:rPr>
        <w:tab/>
      </w:r>
      <w:bookmarkStart w:id="11" w:name="_neb8DC2F0D9_E7F0_4A82_9270_94A064BA98FD"/>
      <w:r>
        <w:rPr>
          <w:rFonts w:hint="default" w:ascii="Times New Roman" w:hAnsi="Times New Roman" w:eastAsia="Times New Roman"/>
          <w:color w:val="000000"/>
          <w:sz w:val="20"/>
          <w:szCs w:val="24"/>
        </w:rPr>
        <w:t>Kon, E., et al., Platelet-rich plasma for the treatment of knee osteoarthritis: an expert opinion  and proposal for a novel classification and coding system. Expert Opin Biol Ther, 2020. 20(12): p. 1447-1460.</w:t>
      </w:r>
      <w:bookmarkEnd w:id="11"/>
    </w:p>
    <w:p>
      <w:pPr>
        <w:spacing w:beforeLines="0" w:afterLines="0"/>
        <w:rPr>
          <w:rFonts w:hint="default"/>
          <w:sz w:val="24"/>
          <w:szCs w:val="24"/>
        </w:rPr>
      </w:pPr>
      <w:r>
        <w:rPr>
          <w:rFonts w:hint="default" w:ascii="Times New Roman" w:hAnsi="Times New Roman" w:eastAsia="Times New Roman"/>
          <w:color w:val="000000"/>
          <w:sz w:val="20"/>
          <w:szCs w:val="24"/>
        </w:rPr>
        <w:t>[13].</w:t>
      </w:r>
      <w:r>
        <w:rPr>
          <w:rFonts w:hint="default" w:ascii="Times New Roman" w:hAnsi="Times New Roman" w:eastAsia="Times New Roman"/>
          <w:color w:val="000000"/>
          <w:sz w:val="20"/>
          <w:szCs w:val="24"/>
        </w:rPr>
        <w:tab/>
      </w:r>
      <w:bookmarkStart w:id="12" w:name="_neb5D7EA627_1E9E_4610_A86C_6051756738E0"/>
      <w:r>
        <w:rPr>
          <w:rFonts w:hint="default" w:ascii="Times New Roman" w:hAnsi="Times New Roman" w:eastAsia="Times New Roman"/>
          <w:color w:val="000000"/>
          <w:sz w:val="20"/>
          <w:szCs w:val="24"/>
        </w:rPr>
        <w:t>Pakhomova, E.E. and I.O. Smirnova, Comparative Evaluation of the Clinical Efficacy of PRP-Therapy, Minoxidil, and  Their Combination with Immunohistochemical Study of the Dynamics of Cell  Proliferation in the Treatment of Men with Androgenetic Alopecia. Int J Mol Sci, 2020. 21(18).</w:t>
      </w:r>
      <w:bookmarkEnd w:id="12"/>
    </w:p>
    <w:p>
      <w:pPr>
        <w:spacing w:beforeLines="0" w:afterLines="0"/>
        <w:rPr>
          <w:rFonts w:hint="default"/>
          <w:sz w:val="24"/>
          <w:szCs w:val="24"/>
        </w:rPr>
      </w:pPr>
      <w:r>
        <w:rPr>
          <w:rFonts w:hint="default" w:ascii="Times New Roman" w:hAnsi="Times New Roman" w:eastAsia="Times New Roman"/>
          <w:color w:val="000000"/>
          <w:sz w:val="20"/>
          <w:szCs w:val="24"/>
        </w:rPr>
        <w:t>[14].</w:t>
      </w:r>
      <w:r>
        <w:rPr>
          <w:rFonts w:hint="default" w:ascii="Times New Roman" w:hAnsi="Times New Roman" w:eastAsia="Times New Roman"/>
          <w:color w:val="000000"/>
          <w:sz w:val="20"/>
          <w:szCs w:val="24"/>
        </w:rPr>
        <w:tab/>
      </w:r>
      <w:bookmarkStart w:id="13" w:name="_nebE61FF53F_2A40_4175_9EE1_F709C434BF9A"/>
      <w:r>
        <w:rPr>
          <w:rFonts w:hint="default" w:ascii="Times New Roman" w:hAnsi="Times New Roman" w:eastAsia="Times New Roman"/>
          <w:color w:val="000000"/>
          <w:sz w:val="20"/>
          <w:szCs w:val="24"/>
        </w:rPr>
        <w:t>Fusco, G., et al., Injections in the osteoarthritic knee: a review of current treatment options. EFORT Open Rev, 2021. 6(6): p. 501-509.</w:t>
      </w:r>
      <w:bookmarkEnd w:id="13"/>
    </w:p>
    <w:p>
      <w:pPr>
        <w:spacing w:beforeLines="0" w:afterLines="0"/>
        <w:rPr>
          <w:rFonts w:hint="default"/>
          <w:sz w:val="24"/>
          <w:szCs w:val="24"/>
        </w:rPr>
      </w:pPr>
      <w:r>
        <w:rPr>
          <w:rFonts w:hint="default" w:ascii="Times New Roman" w:hAnsi="Times New Roman" w:eastAsia="Times New Roman"/>
          <w:color w:val="000000"/>
          <w:sz w:val="20"/>
          <w:szCs w:val="24"/>
        </w:rPr>
        <w:t>[15].</w:t>
      </w:r>
      <w:r>
        <w:rPr>
          <w:rFonts w:hint="default" w:ascii="Times New Roman" w:hAnsi="Times New Roman" w:eastAsia="Times New Roman"/>
          <w:color w:val="000000"/>
          <w:sz w:val="20"/>
          <w:szCs w:val="24"/>
        </w:rPr>
        <w:tab/>
      </w:r>
      <w:bookmarkStart w:id="14" w:name="_neb34B65397_AAFE_44B0_8ECF_02C30D158B8B"/>
      <w:r>
        <w:rPr>
          <w:rFonts w:hint="default" w:ascii="Times New Roman" w:hAnsi="Times New Roman" w:eastAsia="Times New Roman"/>
          <w:color w:val="000000"/>
          <w:sz w:val="20"/>
          <w:szCs w:val="24"/>
        </w:rPr>
        <w:t>Lolli, F., et al., Androgenetic alopecia: a review. Endocrine, 2017. 57(1): p. 9-17.</w:t>
      </w:r>
      <w:bookmarkEnd w:id="14"/>
    </w:p>
    <w:p>
      <w:pPr>
        <w:spacing w:beforeLines="0" w:afterLines="0"/>
        <w:rPr>
          <w:rFonts w:hint="default"/>
          <w:sz w:val="24"/>
          <w:szCs w:val="24"/>
        </w:rPr>
      </w:pPr>
      <w:r>
        <w:rPr>
          <w:rFonts w:hint="default" w:ascii="Times New Roman" w:hAnsi="Times New Roman" w:eastAsia="Times New Roman"/>
          <w:color w:val="000000"/>
          <w:sz w:val="20"/>
          <w:szCs w:val="24"/>
        </w:rPr>
        <w:t>[16].</w:t>
      </w:r>
      <w:r>
        <w:rPr>
          <w:rFonts w:hint="default" w:ascii="Times New Roman" w:hAnsi="Times New Roman" w:eastAsia="Times New Roman"/>
          <w:color w:val="000000"/>
          <w:sz w:val="20"/>
          <w:szCs w:val="24"/>
        </w:rPr>
        <w:tab/>
      </w:r>
      <w:bookmarkStart w:id="15" w:name="_nebFC6C7366_2028_4D75_8203_E0D4D3FAF90D"/>
      <w:r>
        <w:rPr>
          <w:rFonts w:hint="default" w:ascii="Times New Roman" w:hAnsi="Times New Roman" w:eastAsia="Times New Roman"/>
          <w:color w:val="000000"/>
          <w:sz w:val="20"/>
          <w:szCs w:val="24"/>
        </w:rPr>
        <w:t>Primorac, D., et al., Knee Osteoarthritis: A Review of Pathogenesis and State-Of-The-Art Non-Operative  Therapeutic Considerations. Genes (Basel), 2020. 11(8).</w:t>
      </w:r>
      <w:bookmarkEnd w:id="15"/>
    </w:p>
    <w:p>
      <w:pPr>
        <w:spacing w:beforeLines="0" w:afterLines="0"/>
        <w:rPr>
          <w:rFonts w:hint="default"/>
          <w:sz w:val="24"/>
          <w:szCs w:val="24"/>
        </w:rPr>
      </w:pPr>
      <w:r>
        <w:rPr>
          <w:rFonts w:hint="default" w:ascii="Times New Roman" w:hAnsi="Times New Roman" w:eastAsia="Times New Roman"/>
          <w:color w:val="000000"/>
          <w:sz w:val="20"/>
          <w:szCs w:val="24"/>
        </w:rPr>
        <w:t>[17].</w:t>
      </w:r>
      <w:r>
        <w:rPr>
          <w:rFonts w:hint="default" w:ascii="Times New Roman" w:hAnsi="Times New Roman" w:eastAsia="Times New Roman"/>
          <w:color w:val="000000"/>
          <w:sz w:val="20"/>
          <w:szCs w:val="24"/>
        </w:rPr>
        <w:tab/>
      </w:r>
      <w:bookmarkStart w:id="16" w:name="_neb92146AA2_D9AB_460B_BBCD_9DCE779310CD"/>
      <w:r>
        <w:rPr>
          <w:rFonts w:hint="default" w:ascii="Times New Roman" w:hAnsi="Times New Roman" w:eastAsia="Times New Roman"/>
          <w:color w:val="000000"/>
          <w:sz w:val="20"/>
          <w:szCs w:val="24"/>
        </w:rPr>
        <w:t>Nilforoushzadeh, M.A., et al., Assessing the effectiveness of the combination therapy with fractional Er-YAG  laser and platelet-rich plasma in treatment of periorbital dark circles patients:  A clinical trial. J Cosmet Dermatol, 2021. 20(11): p. 3526-3536.</w:t>
      </w:r>
      <w:bookmarkEnd w:id="16"/>
    </w:p>
    <w:p>
      <w:pPr>
        <w:spacing w:beforeLines="0" w:afterLines="0"/>
        <w:rPr>
          <w:rFonts w:hint="default"/>
          <w:sz w:val="24"/>
          <w:szCs w:val="24"/>
        </w:rPr>
      </w:pPr>
      <w:r>
        <w:rPr>
          <w:rFonts w:hint="default" w:ascii="Times New Roman" w:hAnsi="Times New Roman" w:eastAsia="Times New Roman"/>
          <w:color w:val="000000"/>
          <w:sz w:val="20"/>
          <w:szCs w:val="24"/>
        </w:rPr>
        <w:t>[18].</w:t>
      </w:r>
      <w:r>
        <w:rPr>
          <w:rFonts w:hint="default" w:ascii="Times New Roman" w:hAnsi="Times New Roman" w:eastAsia="Times New Roman"/>
          <w:color w:val="000000"/>
          <w:sz w:val="20"/>
          <w:szCs w:val="24"/>
        </w:rPr>
        <w:tab/>
      </w:r>
      <w:bookmarkStart w:id="17" w:name="_nebD6C11842_5C6F_4686_BFD7_B117CC9A03AA"/>
      <w:r>
        <w:rPr>
          <w:rFonts w:hint="default" w:ascii="Times New Roman" w:hAnsi="Times New Roman" w:eastAsia="Times New Roman"/>
          <w:color w:val="000000"/>
          <w:sz w:val="20"/>
          <w:szCs w:val="24"/>
        </w:rPr>
        <w:t>Gentile, P. and S. Garcovich, Autologous activated platelet-rich plasma (AA-PRP) and non-activated (A-PRP) in  hair growth: a retrospective, blinded, randomized evaluation in androgenetic  alopecia. Expert Opin Biol Ther, 2020. 20(3): p. 327-337.</w:t>
      </w:r>
      <w:bookmarkEnd w:id="17"/>
    </w:p>
    <w:p>
      <w:pPr>
        <w:spacing w:beforeLines="0" w:afterLines="0"/>
        <w:rPr>
          <w:rFonts w:hint="default"/>
          <w:sz w:val="24"/>
          <w:szCs w:val="24"/>
        </w:rPr>
      </w:pPr>
      <w:r>
        <w:rPr>
          <w:rFonts w:hint="default" w:ascii="Times New Roman" w:hAnsi="Times New Roman" w:eastAsia="Times New Roman"/>
          <w:color w:val="000000"/>
          <w:sz w:val="20"/>
          <w:szCs w:val="24"/>
        </w:rPr>
        <w:t>[19].</w:t>
      </w:r>
      <w:r>
        <w:rPr>
          <w:rFonts w:hint="default" w:ascii="Times New Roman" w:hAnsi="Times New Roman" w:eastAsia="Times New Roman"/>
          <w:color w:val="000000"/>
          <w:sz w:val="20"/>
          <w:szCs w:val="24"/>
        </w:rPr>
        <w:tab/>
      </w:r>
      <w:bookmarkStart w:id="18" w:name="_neb733E7DD7_9AF9_48F6_A67A_FC53BFB14D6F"/>
      <w:r>
        <w:rPr>
          <w:rFonts w:hint="default" w:ascii="Times New Roman" w:hAnsi="Times New Roman" w:eastAsia="Times New Roman"/>
          <w:color w:val="000000"/>
          <w:sz w:val="20"/>
          <w:szCs w:val="24"/>
        </w:rPr>
        <w:t>Saqlain, N., et al., Comparison of single and double centrifugation methods for preparation of  Platelet-Rich Plasma (PRP). Pak J Med Sci, 2023. 39(3): p. 634-637.</w:t>
      </w:r>
      <w:bookmarkEnd w:id="18"/>
    </w:p>
    <w:p>
      <w:pPr>
        <w:spacing w:beforeLines="0" w:afterLines="0"/>
        <w:rPr>
          <w:rFonts w:hint="default"/>
          <w:sz w:val="24"/>
          <w:szCs w:val="24"/>
        </w:rPr>
      </w:pPr>
      <w:r>
        <w:rPr>
          <w:rFonts w:hint="default" w:ascii="Times New Roman" w:hAnsi="Times New Roman" w:eastAsia="Times New Roman"/>
          <w:color w:val="000000"/>
          <w:sz w:val="20"/>
          <w:szCs w:val="24"/>
        </w:rPr>
        <w:t>[20].</w:t>
      </w:r>
      <w:r>
        <w:rPr>
          <w:rFonts w:hint="default" w:ascii="Times New Roman" w:hAnsi="Times New Roman" w:eastAsia="Times New Roman"/>
          <w:color w:val="000000"/>
          <w:sz w:val="20"/>
          <w:szCs w:val="24"/>
        </w:rPr>
        <w:tab/>
      </w:r>
      <w:bookmarkStart w:id="19" w:name="_nebAABE1B4A_927B_40BB_B0AD_42ACD1D8E017"/>
      <w:r>
        <w:rPr>
          <w:rFonts w:hint="default" w:ascii="Times New Roman" w:hAnsi="Times New Roman" w:eastAsia="Times New Roman"/>
          <w:color w:val="000000"/>
          <w:sz w:val="20"/>
          <w:szCs w:val="24"/>
        </w:rPr>
        <w:t>Muthuprabakaran, K., et al., A cross-sectional analysis of the effects of various centrifugation speeds and  inclusion of the buffy coat in platelet-rich plasma preparation. Indian J Dermatol Venereol Leprol, 2021. 87(6): p. 792-799.</w:t>
      </w:r>
      <w:bookmarkEnd w:id="19"/>
    </w:p>
    <w:p>
      <w:pPr>
        <w:spacing w:beforeLines="0" w:afterLines="0"/>
        <w:rPr>
          <w:rFonts w:hint="default"/>
          <w:sz w:val="24"/>
          <w:szCs w:val="24"/>
        </w:rPr>
      </w:pPr>
      <w:r>
        <w:rPr>
          <w:rFonts w:hint="default" w:ascii="Times New Roman" w:hAnsi="Times New Roman" w:eastAsia="Times New Roman"/>
          <w:color w:val="000000"/>
          <w:sz w:val="20"/>
          <w:szCs w:val="24"/>
        </w:rPr>
        <w:t>[21].</w:t>
      </w:r>
      <w:r>
        <w:rPr>
          <w:rFonts w:hint="default" w:ascii="Times New Roman" w:hAnsi="Times New Roman" w:eastAsia="Times New Roman"/>
          <w:color w:val="000000"/>
          <w:sz w:val="20"/>
          <w:szCs w:val="24"/>
        </w:rPr>
        <w:tab/>
      </w:r>
      <w:bookmarkStart w:id="20" w:name="_nebC39F3271_2B0C_4D00_ADEF_878078FE6A41"/>
      <w:r>
        <w:rPr>
          <w:rFonts w:hint="default" w:ascii="Times New Roman" w:hAnsi="Times New Roman" w:eastAsia="Times New Roman"/>
          <w:color w:val="000000"/>
          <w:sz w:val="20"/>
          <w:szCs w:val="24"/>
        </w:rPr>
        <w:t>Lotfi, E., N. Aramianpour and B. Salehi, Combination of platelet-rich plasma and platelet gel in treatment of resistance  androgenic alopecia: A case series study. J Cosmet Dermatol, 2022. 21(10): p. 4307-4312.</w:t>
      </w:r>
      <w:bookmarkEnd w:id="20"/>
    </w:p>
    <w:p>
      <w: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jZGUxMWVmYTI0ODc5ZjlkN2Q3MTQwMDRkYTEyOWUifQ=="/>
    <w:docVar w:name="NE.Ref{1393B06C-C4C6-40F0-BB4A-81C710F13504}" w:val=" ADDIN NE.Ref.{1393B06C-C4C6-40F0-BB4A-81C710F13504}&lt;Citation&gt;&lt;Group&gt;&lt;References&gt;&lt;Item&gt;&lt;ID&gt;725&lt;/ID&gt;&lt;UID&gt;{34B65397-AAFE-44B0-8ECF-02C30D158B8B}&lt;/UID&gt;&lt;Title&gt;Androgenetic alopecia: a review&lt;/Title&gt;&lt;Template&gt;Journal Article&lt;/Template&gt;&lt;Star&gt;0&lt;/Star&gt;&lt;Tag&gt;0&lt;/Tag&gt;&lt;Author&gt;Lolli, F; Pallotti, F; Rossi, A; Fortuna, M C; Caro, G; Lenzi, A; Sansone, A; Lombardo, F&lt;/Author&gt;&lt;Year&gt;2017&lt;/Year&gt;&lt;Details&gt;&lt;_accession_num&gt;28349362&lt;/_accession_num&gt;&lt;_author_adr&gt;Department of Experimental Medicine, University of Rome &amp;quot;La Sapienza&amp;quot;, Rome,  Italy.; Department of Experimental Medicine, University of Rome &amp;quot;La Sapienza&amp;quot;, Rome,  Italy.; Department of Internal Medicine and Medical Specialties, University of Rome &amp;quot;La  Sapienza&amp;quot;, Rome, Italy.; Department of Internal Medicine and Medical Specialties, University of Rome &amp;quot;La  Sapienza&amp;quot;, Rome, Italy.; Department of Internal Medicine and Medical Specialties, University of Rome &amp;quot;La  Sapienza&amp;quot;, Rome, Italy.; Department of Experimental Medicine, University of Rome &amp;quot;La Sapienza&amp;quot;, Rome,  Italy.; Department of Experimental Medicine, University of Rome &amp;quot;La Sapienza&amp;quot;, Rome,  Italy.; Department of Experimental Medicine, University of Rome &amp;quot;La Sapienza&amp;quot;, Rome,  Italy. francesco.lombardo@uniroma1.it.&lt;/_author_adr&gt;&lt;_date_display&gt;2017 Jul&lt;/_date_display&gt;&lt;_date&gt;2017-07-01&lt;/_date&gt;&lt;_doi&gt;10.1007/s12020-017-1280-y&lt;/_doi&gt;&lt;_isbn&gt;1559-0100 (Electronic); 1355-008X (Linking)&lt;/_isbn&gt;&lt;_issue&gt;1&lt;/_issue&gt;&lt;_journal&gt;Endocrine&lt;/_journal&gt;&lt;_keywords&gt;AGA; AGA genetics; Androgen metabolism; Androgen receptor; Finasteride; Male pattern baldness&lt;/_keywords&gt;&lt;_language&gt;eng&lt;/_language&gt;&lt;_pages&gt;9-17&lt;/_pages&gt;&lt;_subject_headings&gt;Alopecia/*genetics; Genetic Loci; *Genetic Predisposition to Disease; Humans; Male; Polymorphism, Single Nucleotide; Receptors, Androgen/*genetics&lt;/_subject_headings&gt;&lt;_tertiary_title&gt;Endocrine&lt;/_tertiary_title&gt;&lt;_type_work&gt;Journal Article; Review; Systematic Review&lt;/_type_work&gt;&lt;_url&gt;http://www.ncbi.nlm.nih.gov/entrez/query.fcgi?cmd=Retrieve&amp;amp;db=pubmed&amp;amp;dopt=Abstract&amp;amp;list_uids=28349362&amp;amp;query_hl=1&lt;/_url&gt;&lt;_volume&gt;57&lt;/_volume&gt;&lt;_created&gt;65088708&lt;/_created&gt;&lt;_modified&gt;65088709&lt;/_modified&gt;&lt;_db_updated&gt;PubMed&lt;/_db_updated&gt;&lt;_impact_factor&gt;   3.633&lt;/_impact_factor&gt;&lt;_collection_scope&gt;SCI;SCIE&lt;/_collection_scope&gt;&lt;/Details&gt;&lt;Extra&gt;&lt;DBUID&gt;{F96A950B-833F-4880-A151-76DA2D6A2879}&lt;/DBUID&gt;&lt;/Extra&gt;&lt;/Item&gt;&lt;/References&gt;&lt;/Group&gt;&lt;/Citation&gt;_x000a_"/>
    <w:docVar w:name="NE.Ref{147B0F96-E1B2-46DF-B128-338562EC090C}" w:val=" ADDIN NE.Ref.{147B0F96-E1B2-46DF-B128-338562EC090C}&lt;Citation&gt;&lt;Group&gt;&lt;References&gt;&lt;Item&gt;&lt;ID&gt;729&lt;/ID&gt;&lt;UID&gt;{733E7DD7-9AF9-48F6-A67A-FC53BFB14D6F}&lt;/UID&gt;&lt;Title&gt;Comparison of single and double centrifugation methods for preparation of  Platelet-Rich Plasma (PRP)&lt;/Title&gt;&lt;Template&gt;Journal Article&lt;/Template&gt;&lt;Star&gt;0&lt;/Star&gt;&lt;Tag&gt;0&lt;/Tag&gt;&lt;Author&gt;Saqlain, N; Mazher, N; Fateen, T; Siddique, A&lt;/Author&gt;&lt;Year&gt;2023&lt;/Year&gt;&lt;Details&gt;&lt;_accession_num&gt;37250535&lt;/_accession_num&gt;&lt;_author_adr&gt;Nazish Saqlain, FCPS Hematology, Associate Professor of Pathology. The Children&amp;apos;s  Hospital and UCHS, Lahore, Pakistan.; Naghmana Mazher, M.Phil Hematology, Associate Professor of Pathology. Fatima  Jinnah Medical University, Lahore, Pakistan.; Tooba Fateen, FCPS Hematology, Associate Professor of Pathology. Allama Iqbal  Medical College, Lahore, Pakistan.; Asma Siddique, B.Sc Medical Laboratory Technologist. The Children&amp;apos;s Hospital and  UCHS, Lahore, Pakistan.&lt;/_author_adr&gt;&lt;_date_display&gt;2023 May-Jun&lt;/_date_display&gt;&lt;_date&gt;2023-05-01&lt;/_date&gt;&lt;_doi&gt;10.12669/pjms.39.3.7264&lt;/_doi&gt;&lt;_isbn&gt;1682-024X (Print); 1681-715X (Electronic); 1681-715X (Linking)&lt;/_isbn&gt;&lt;_issue&gt;3&lt;/_issue&gt;&lt;_journal&gt;Pak J Med Sci&lt;/_journal&gt;&lt;_keywords&gt;Blood; Centrifugation; Platelet concentration; Platelet-rich plasma&lt;/_keywords&gt;&lt;_language&gt;eng&lt;/_language&gt;&lt;_ori_publication&gt;Copyright: (c) Pakistan Journal of Medical Sciences.&lt;/_ori_publication&gt;&lt;_pages&gt;634-637&lt;/_pages&gt;&lt;_tertiary_title&gt;Pakistan journal of medical sciences&lt;/_tertiary_title&gt;&lt;_type_work&gt;Journal Article&lt;/_type_work&gt;&lt;_url&gt;http://www.ncbi.nlm.nih.gov/entrez/query.fcgi?cmd=Retrieve&amp;amp;db=pubmed&amp;amp;dopt=Abstract&amp;amp;list_uids=37250535&amp;amp;query_hl=1&lt;/_url&gt;&lt;_volume&gt;39&lt;/_volume&gt;&lt;_created&gt;65097138&lt;/_created&gt;&lt;_modified&gt;65097139&lt;/_modified&gt;&lt;_db_updated&gt;PubMed&lt;/_db_updated&gt;&lt;_impact_factor&gt;   1.088&lt;/_impact_factor&gt;&lt;_collection_scope&gt;SCIE&lt;/_collection_scope&gt;&lt;/Details&gt;&lt;Extra&gt;&lt;DBUID&gt;{F96A950B-833F-4880-A151-76DA2D6A2879}&lt;/DBUID&gt;&lt;/Extra&gt;&lt;/Item&gt;&lt;/References&gt;&lt;/Group&gt;&lt;Group&gt;&lt;References&gt;&lt;Item&gt;&lt;ID&gt;730&lt;/ID&gt;&lt;UID&gt;{AABE1B4A-927B-40BB-B0AD-42ACD1D8E017}&lt;/UID&gt;&lt;Title&gt;A cross-sectional analysis of the effects of various centrifugation speeds and  inclusion of the buffy coat in platelet-rich plasma preparation&lt;/Title&gt;&lt;Template&gt;Journal Article&lt;/Template&gt;&lt;Star&gt;0&lt;/Star&gt;&lt;Tag&gt;0&lt;/Tag&gt;&lt;Author&gt;Muthuprabakaran, K; Pai, V V; Ahmad, S; Shukla, P&lt;/Author&gt;&lt;Year&gt;2021&lt;/Year&gt;&lt;Details&gt;&lt;_accession_num&gt;34245527&lt;/_accession_num&gt;&lt;_author_adr&gt;Department of Dermatology, Goa Medical College, Bambolim, Goa, India.; Department of Dermatology, Goa Medical College, Bambolim, Goa, India.; Department of Dermatology, Goa Medical College, Bambolim, Goa, India.; Department of Dermatology, Goa Medical College, Bambolim, Goa, India.&lt;/_author_adr&gt;&lt;_date_display&gt;2021 Nov-Dec&lt;/_date_display&gt;&lt;_date&gt;2021-11-01&lt;/_date&gt;&lt;_doi&gt;10.25259/IJDVL_1050_20&lt;/_doi&gt;&lt;_isbn&gt;0973-3922 (Electronic); 0378-6323 (Linking)&lt;/_isbn&gt;&lt;_issue&gt;6&lt;/_issue&gt;&lt;_journal&gt;Indian J Dermatol Venereol Leprol&lt;/_journal&gt;&lt;_keywords&gt;Buffy coat; centrifugation speed; platelet count; platelet-rich plasma&lt;/_keywords&gt;&lt;_language&gt;eng&lt;/_language&gt;&lt;_pages&gt;792-799&lt;/_pages&gt;&lt;_subject_headings&gt;Adolescent; Adult; Centrifugation/*methods; Cross-Sectional Studies; Erythrocyte Count; Female; Humans; Leukocyte Count; Male; Middle Aged; Platelet Count; *Platelet-Rich Plasma; Young Adult&lt;/_subject_headings&gt;&lt;_tertiary_title&gt;Indian journal of dermatology, venereology and leprology&lt;/_tertiary_title&gt;&lt;_type_work&gt;Journal Article; Observational Study&lt;/_type_work&gt;&lt;_url&gt;http://www.ncbi.nlm.nih.gov/entrez/query.fcgi?cmd=Retrieve&amp;amp;db=pubmed&amp;amp;dopt=Abstract&amp;amp;list_uids=34245527&amp;amp;query_hl=1&lt;/_url&gt;&lt;_volume&gt;87&lt;/_volume&gt;&lt;_created&gt;65097138&lt;/_created&gt;&lt;_modified&gt;65097139&lt;/_modified&gt;&lt;_db_updated&gt;PubMed&lt;/_db_updated&gt;&lt;_impact_factor&gt;   2.545&lt;/_impact_factor&gt;&lt;/Details&gt;&lt;Extra&gt;&lt;DBUID&gt;{F96A950B-833F-4880-A151-76DA2D6A2879}&lt;/DBUID&gt;&lt;/Extra&gt;&lt;/Item&gt;&lt;/References&gt;&lt;/Group&gt;&lt;/Citation&gt;_x000a_"/>
    <w:docVar w:name="NE.Ref{1CBF9F78-A9B6-4DEB-83AA-DD2AF85FBD85}" w:val=" ADDIN NE.Ref.{1CBF9F78-A9B6-4DEB-83AA-DD2AF85FBD85}&lt;Citation&gt;&lt;Group&gt;&lt;References&gt;&lt;Item&gt;&lt;ID&gt;726&lt;/ID&gt;&lt;UID&gt;{FC6C7366-2028-4D75-8203-E0D4D3FAF90D}&lt;/UID&gt;&lt;Title&gt;Knee Osteoarthritis: A Review of Pathogenesis and State-Of-The-Art Non-Operative  Therapeutic Considerations&lt;/Title&gt;&lt;Template&gt;Journal Article&lt;/Template&gt;&lt;Star&gt;0&lt;/Star&gt;&lt;Tag&gt;0&lt;/Tag&gt;&lt;Author&gt;Primorac, D; Molnar, V; Rod, E; Jelec, Z; Cukelj, F; Matisic, V; Vrdoljak, T; Hudetz, D; Hajsok, H; Boric, I&lt;/Author&gt;&lt;Year&gt;2020&lt;/Year&gt;&lt;Details&gt;&lt;_accession_num&gt;32722615&lt;/_accession_num&gt;&lt;_author_adr&gt;St. Catherine Specialty Hospital, 49210 Zabok/10000 Zagreb, Croatia.; Eberly College of Science, The Pennsylvania State University, University Park,  State College, PA 16802, USA.; The Henry C. Lee College of Criminal Justice and Forensic Sciences, University of  New Haven, West Haven, CT 06516, USA.; Medical School, University of Split, 21000 Split, Croatia.; School of Medicine, Faculty of Dental Medicine and Health, University &amp;quot;Josip  Juraj Strossmayer&amp;quot;, 31000 Osijek, Croatia.; School of Medicine, JJ Strossmayer University of Osijek, 31000 Osijek, Croatia.; Medical School, University of Rijeka, 51000 Rijeka, Croatia.; Medical School REGIOMED, 96 450 Coburg, Germany.; Medical School, University of Mostar, 88000 Mostar, Bosnia and Herzegovina.; St. Catherine Specialty Hospital, 49210 Zabok/10000 Zagreb, Croatia.; School of Medicine, JJ Strossmayer University of Osijek, 31000 Osijek, Croatia.; St. Catherine Specialty Hospital, 49210 Zabok/10000 Zagreb, Croatia.; School of Medicine, JJ Strossmayer University of Osijek, 31000 Osijek, Croatia.; St. Catherine Specialty Hospital, 49210 Zabok/10000 Zagreb, Croatia.; School of Medicine, JJ Strossmayer University of Osijek, 31000 Osijek, Croatia.; Department of Nursing, University North, 48 000 Varazdin, Croatia.; St. Catherine Specialty Hospital, 49210 Zabok/10000 Zagreb, Croatia.; Medical School, University of Split, 21000 Split, Croatia.; St. Catherine Specialty Hospital, 49210 Zabok/10000 Zagreb, Croatia.; St. Catherine Specialty Hospital, 49210 Zabok/10000 Zagreb, Croatia.; Department of Orthopedics, Clinical Hospital &amp;quot;Sveti Duh&amp;quot;, 10000 Zagreb, Croatia.; St. Catherine Specialty Hospital, 49210 Zabok/10000 Zagreb, Croatia.; School of Medicine, JJ Strossmayer University of Osijek, 31000 Osijek, Croatia.; Department of Orthopedics, Clinical Hospital &amp;quot;Sveti Duh&amp;quot;, 10000 Zagreb, Croatia.; St. Catherine Specialty Hospital, 49210 Zabok/10000 Zagreb, Croatia.; Medical School, University of Zagreb, 10000 Zagreb, Croatia.; St. Catherine Specialty Hospital, 49210 Zabok/10000 Zagreb, Croatia.; Medical School, University of Split, 21000 Split, Croatia.; Medical School, University of Rijeka, 51000 Rijeka, Croatia.; Medical School, University of Mostar, 88000 Mostar, Bosnia and Herzegovina.&lt;/_author_adr&gt;&lt;_date_display&gt;2020 Jul 26&lt;/_date_display&gt;&lt;_date&gt;2020-07-26&lt;/_date&gt;&lt;_doi&gt;10.3390/genes11080854&lt;/_doi&gt;&lt;_isbn&gt;2073-4425 (Electronic); 2073-4425 (Linking)&lt;/_isbn&gt;&lt;_issue&gt;8&lt;/_issue&gt;&lt;_journal&gt;Genes (Basel)&lt;/_journal&gt;&lt;_keywords&gt;cytokines; epigenomics; genetic therapy; knee osteoarthritis; mesenchymal stem cells; phenotype; platelet-rich plasma&lt;/_keywords&gt;&lt;_language&gt;eng&lt;/_language&gt;&lt;_subject_headings&gt;Animals; Anti-Inflammatory Agents/*therapeutic use; Humans; Osteoarthritis, Knee/*pathology/*therapy; *Platelet-Rich Plasma&lt;/_subject_headings&gt;&lt;_tertiary_title&gt;Genes&lt;/_tertiary_title&gt;&lt;_type_work&gt;Journal Article; Review&lt;/_type_work&gt;&lt;_url&gt;http://www.ncbi.nlm.nih.gov/entrez/query.fcgi?cmd=Retrieve&amp;amp;db=pubmed&amp;amp;dopt=Abstract&amp;amp;list_uids=32722615&amp;amp;query_hl=1&lt;/_url&gt;&lt;_volume&gt;11&lt;/_volume&gt;&lt;_created&gt;65097129&lt;/_created&gt;&lt;_modified&gt;65097129&lt;/_modified&gt;&lt;_db_updated&gt;PubMed&lt;/_db_updated&gt;&lt;_impact_factor&gt;   4.096&lt;/_impact_factor&gt;&lt;/Details&gt;&lt;Extra&gt;&lt;DBUID&gt;{F96A950B-833F-4880-A151-76DA2D6A2879}&lt;/DBUID&gt;&lt;/Extra&gt;&lt;/Item&gt;&lt;/References&gt;&lt;/Group&gt;&lt;/Citation&gt;_x000a_"/>
    <w:docVar w:name="NE.Ref{3D034AA2-0C89-477A-A97A-B0A9E51F4F3C}" w:val=" ADDIN NE.Ref.{3D034AA2-0C89-477A-A97A-B0A9E51F4F3C}&lt;Citation&gt;&lt;Group&gt;&lt;References&gt;&lt;Item&gt;&lt;ID&gt;710&lt;/ID&gt;&lt;UID&gt;{4C565568-0D28-4E3B-9916-13DB2030E2E9}&lt;/UID&gt;&lt;Title&gt;Treatment of Androgenetic Alopecia: Current Guidance and Unmet Needs&lt;/Title&gt;&lt;Template&gt;Journal Article&lt;/Template&gt;&lt;Star&gt;0&lt;/Star&gt;&lt;Tag&gt;0&lt;/Tag&gt;&lt;Author&gt;Kaiser, M; Abdin, R; Gaumond, S I; Issa, N T; Jimenez, J J&lt;/Author&gt;&lt;Year&gt;2023&lt;/Year&gt;&lt;Details&gt;&lt;_accession_num&gt;37284568&lt;/_accession_num&gt;&lt;_author_adr&gt;Dr. Phillip Frost Department of Dermatology and Cutaneous Surgery, University of  Miami Miller School of Medicine, Miami, FL, USA.; Charles E. Schmidt College of Medicine, Florida Atlantic University, Boca Raton,  FL, USA.; Dr. Phillip Frost Department of Dermatology and Cutaneous Surgery, University of  Miami Miller School of Medicine, Miami, FL, USA.; Forefront Dermatology, Vienna, VA, USA.; Issa Research and Consulting, LLC, Springfield, VA, USA.; Dr. Phillip Frost Department of Dermatology and Cutaneous Surgery, University of  Miami Miller School of Medicine, Miami, FL, USA.&lt;/_author_adr&gt;&lt;_date_display&gt;2023&lt;/_date_display&gt;&lt;_date&gt;2023-01-20&lt;/_date&gt;&lt;_doi&gt;10.2147/CCID.S385861&lt;/_doi&gt;&lt;_isbn&gt;1178-7015 (Print); 1178-7015 (Electronic); 1178-7015 (Linking)&lt;/_isbn&gt;&lt;_journal&gt;Clin Cosmet Investig Dermatol&lt;/_journal&gt;&lt;_keywords&gt;androgenetic alopecia; finasteride; microneedling; minoxidil; platelet rich plasma&lt;/_keywords&gt;&lt;_language&gt;eng&lt;/_language&gt;&lt;_ori_publication&gt;(c) 2023 Kaiser et al.&lt;/_ori_publication&gt;&lt;_pages&gt;1387-1406&lt;/_pages&gt;&lt;_tertiary_title&gt;Clinical, cosmetic and investigational dermatology&lt;/_tertiary_title&gt;&lt;_type_work&gt;Journal Article; Review&lt;/_type_work&gt;&lt;_url&gt;http://www.ncbi.nlm.nih.gov/entrez/query.fcgi?cmd=Retrieve&amp;amp;db=pubmed&amp;amp;dopt=Abstract&amp;amp;list_uids=37284568&amp;amp;query_hl=1&lt;/_url&gt;&lt;_volume&gt;16&lt;/_volume&gt;&lt;_created&gt;65088674&lt;/_created&gt;&lt;_modified&gt;65088677&lt;/_modified&gt;&lt;_db_updated&gt;PubMed&lt;/_db_updated&gt;&lt;_impact_factor&gt;   2.489&lt;/_impact_factor&gt;&lt;/Details&gt;&lt;Extra&gt;&lt;DBUID&gt;{F96A950B-833F-4880-A151-76DA2D6A2879}&lt;/DBUID&gt;&lt;/Extra&gt;&lt;/Item&gt;&lt;/References&gt;&lt;/Group&gt;&lt;Group&gt;&lt;References&gt;&lt;Item&gt;&lt;ID&gt;711&lt;/ID&gt;&lt;UID&gt;{B75B5DEB-88BD-4D30-A6E3-5141E450C59F}&lt;/UID&gt;&lt;Title&gt;Relative Efficacy of Minoxidil and the 5-alpha Reductase Inhibitors in Androgenetic  Alopecia Treatment of Male Patients: A Network Meta-analysis&lt;/Title&gt;&lt;Template&gt;Journal Article&lt;/Template&gt;&lt;Star&gt;0&lt;/Star&gt;&lt;Tag&gt;0&lt;/Tag&gt;&lt;Author&gt;Gupta, A K; Venkataraman, M; Talukder, M; Bamimore, M A&lt;/Author&gt;&lt;Year&gt;2022&lt;/Year&gt;&lt;Details&gt;&lt;_accession_num&gt;35107565&lt;/_accession_num&gt;&lt;_author_adr&gt;Mediprobe Research Inc, London, Ontario, Canada.; Division of Dermatology, Department of Medicine, University of Toronto School of  Medicine, Toronto, Ontario, Canada.; Mediprobe Research Inc, London, Ontario, Canada.; Mediprobe Research Inc, London, Ontario, Canada.; Mediprobe Research Inc, London, Ontario, Canada.&lt;/_author_adr&gt;&lt;_date_display&gt;2022 Mar 1&lt;/_date_display&gt;&lt;_date&gt;2022-03-01&lt;/_date&gt;&lt;_doi&gt;10.1001/jamadermatol.2021.5743&lt;/_doi&gt;&lt;_isbn&gt;2168-6084 (Electronic); 2168-6068 (Print); 2168-6068 (Linking)&lt;/_isbn&gt;&lt;_issue&gt;3&lt;/_issue&gt;&lt;_journal&gt;JAMA Dermatol&lt;/_journal&gt;&lt;_language&gt;eng&lt;/_language&gt;&lt;_pages&gt;266-274&lt;/_pages&gt;&lt;_subject_headings&gt;*5-alpha Reductase Inhibitors; Adult; Alopecia/diagnosis; Bayes Theorem; Dutasteride; Finasteride; Humans; Male; *Minoxidil/therapeutic use; Network Meta-Analysis; Treatment Outcome; Young Adult&lt;/_subject_headings&gt;&lt;_tertiary_title&gt;JAMA dermatology&lt;/_tertiary_title&gt;&lt;_type_work&gt;Journal Article; Meta-Analysis&lt;/_type_work&gt;&lt;_url&gt;http://www.ncbi.nlm.nih.gov/entrez/query.fcgi?cmd=Retrieve&amp;amp;db=pubmed&amp;amp;dopt=Abstract&amp;amp;list_uids=35107565&amp;amp;query_hl=1&lt;/_url&gt;&lt;_volume&gt;158&lt;/_volume&gt;&lt;_created&gt;65088674&lt;/_created&gt;&lt;_modified&gt;65088677&lt;/_modified&gt;&lt;_db_updated&gt;PubMed&lt;/_db_updated&gt;&lt;_impact_factor&gt;  10.282&lt;/_impact_factor&gt;&lt;_collection_scope&gt;SCI;SCIE&lt;/_collection_scope&gt;&lt;/Details&gt;&lt;Extra&gt;&lt;DBUID&gt;{F96A950B-833F-4880-A151-76DA2D6A2879}&lt;/DBUID&gt;&lt;/Extra&gt;&lt;/Item&gt;&lt;/References&gt;&lt;/Group&gt;&lt;/Citation&gt;_x000a_"/>
    <w:docVar w:name="NE.Ref{3E8D4BC1-B0DC-4315-A61F-7D65296F25D3}" w:val=" ADDIN NE.Ref.{3E8D4BC1-B0DC-4315-A61F-7D65296F25D3}&lt;Citation&gt;&lt;Group&gt;&lt;References&gt;&lt;Item&gt;&lt;ID&gt;714&lt;/ID&gt;&lt;UID&gt;{97A36AE5-6FF5-495A-B0BA-15B1B7D4BC1A}&lt;/UID&gt;&lt;Title&gt;Topical Antiandrogen Therapies for Androgenetic Alopecia and Acne Vulgaris&lt;/Title&gt;&lt;Template&gt;Journal Article&lt;/Template&gt;&lt;Star&gt;0&lt;/Star&gt;&lt;Tag&gt;0&lt;/Tag&gt;&lt;Author&gt;Marks, D H; Prasad, S; De Souza, B; Burns, L J; Senna, M M&lt;/Author&gt;&lt;Year&gt;2020&lt;/Year&gt;&lt;Details&gt;&lt;_accession_num&gt;31832993&lt;/_accession_num&gt;&lt;_author_adr&gt;Department of Dermatology, Massachusetts General Hospital, 50 Staniford Street,  Suite 200, Boston, MA, 02114, USA.; Department of Dermatology, Massachusetts General Hospital, 50 Staniford Street,  Suite 200, Boston, MA, 02114, USA.; Department of Dermatology, Massachusetts General Hospital, 50 Staniford Street,  Suite 200, Boston, MA, 02114, USA.; Department of Dermatology, Massachusetts General Hospital, 50 Staniford Street,  Suite 200, Boston, MA, 02114, USA.; Department of Dermatology, Massachusetts General Hospital, 50 Staniford Street,  Suite 200, Boston, MA, 02114, USA. msenna@partners.org.; Harvard Medical School, Boston, MA, USA. msenna@partners.org.&lt;/_author_adr&gt;&lt;_date_display&gt;2020 Apr&lt;/_date_display&gt;&lt;_date&gt;2020-04-01&lt;/_date&gt;&lt;_doi&gt;10.1007/s40257-019-00493-z&lt;/_doi&gt;&lt;_isbn&gt;1179-1888 (Electronic); 1175-0561 (Linking)&lt;/_isbn&gt;&lt;_issue&gt;2&lt;/_issue&gt;&lt;_journal&gt;Am J Clin Dermatol&lt;/_journal&gt;&lt;_language&gt;eng&lt;/_language&gt;&lt;_pages&gt;245-254&lt;/_pages&gt;&lt;_subject_headings&gt;Acne Vulgaris/*drug therapy; Administration, Topical; Alopecia/*drug therapy; Androgen Antagonists/*therapeutic use; Humans&lt;/_subject_headings&gt;&lt;_tertiary_title&gt;American journal of clinical dermatology&lt;/_tertiary_title&gt;&lt;_type_work&gt;Journal Article; Review&lt;/_type_work&gt;&lt;_url&gt;http://www.ncbi.nlm.nih.gov/entrez/query.fcgi?cmd=Retrieve&amp;amp;db=pubmed&amp;amp;dopt=Abstract&amp;amp;list_uids=31832993&amp;amp;query_hl=1&lt;/_url&gt;&lt;_volume&gt;21&lt;/_volume&gt;&lt;_created&gt;65088674&lt;/_created&gt;&lt;_modified&gt;65088678&lt;/_modified&gt;&lt;_db_updated&gt;PubMed&lt;/_db_updated&gt;&lt;_impact_factor&gt;   7.403&lt;/_impact_factor&gt;&lt;_collection_scope&gt;SCIE&lt;/_collection_scope&gt;&lt;/Details&gt;&lt;Extra&gt;&lt;DBUID&gt;{F96A950B-833F-4880-A151-76DA2D6A2879}&lt;/DBUID&gt;&lt;/Extra&gt;&lt;/Item&gt;&lt;/References&gt;&lt;/Group&gt;&lt;/Citation&gt;_x000a_"/>
    <w:docVar w:name="NE.Ref{46A8E3BC-2E9B-42E6-A653-A5F6A58C3008}" w:val=" ADDIN NE.Ref.{46A8E3BC-2E9B-42E6-A653-A5F6A58C3008}&lt;Citation&gt;&lt;Group&gt;&lt;References&gt;&lt;Item&gt;&lt;ID&gt;723&lt;/ID&gt;&lt;UID&gt;{4FC225C3-9E1A-43C5-9940-AB7CD6B15D28}&lt;/UID&gt;&lt;Title&gt;Individual immune cell and cytokine profiles determine platelet-rich plasma  composition&lt;/Title&gt;&lt;Template&gt;Journal Article&lt;/Template&gt;&lt;Star&gt;0&lt;/Star&gt;&lt;Tag&gt;0&lt;/Tag&gt;&lt;Author&gt;Niemann, M; Ort, M; Lauterbach, L; Streitz, M; Wilhelm, A; Grutz, G; Fleckenstein, F N; Graef, F; Blankenstein, A; Reinke, S; Stockle, U; Perka, C; Duda, G N; Geissler, S; Winkler, T; Maleitzke, T&lt;/Author&gt;&lt;Year&gt;2023&lt;/Year&gt;&lt;Details&gt;&lt;_accession_num&gt;36627721&lt;/_accession_num&gt;&lt;_author_adr&gt;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melanie.ort@charite.de.; Department of Biology, Chemistry and Pharmacy, Institute of Chemistry and  Biochemistry, Freie Universitat Berlin, 14195, Berlin, Germany.  melanie.ort@charite.de.; Berlin Institute of Health at Charite - Universitatsmedizin Berlin, Julius Wolff  Institute, Augustenburger Platz 1, 13353, Berlin, Germany.; Department of Experimental Animal Facilities and Biorisk Management,  Friedrich-Loeffler-Institut, Sudufer 10, 17493, Greifswald, Insel Riems, Germany.; Berlin Institute of Health at Charite - Universitatsmedizin Berlin, Julius Wolff  Institute, Augustenburger Platz 1, 13353, Berlin, Germany.; Berlin Institute of Health at Charite - Universitatsmedizin Berlin, Julius Wolff  Institute, Augustenburger Platz 1, 13353, Berlin, Germany.; Charite - Universitatsmedizin Berlin, corporate member of Freie Universitat  Berlin and Humboldt-Universitat zu Berlin, Department of Diagnostic and  Interventional Radiology, Augustenburger Platz 1, 13353, Berlin, Germany.; Berlin Institute of Health Center for Regenerative Therapies, Berlin Institute of  Health at Charite - Universitatsmedizin Berlin,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Charite - Universitatsmedizin Berlin, corporate member of Freie Universitat  Berlin and Humboldt-Universitat zu Berlin, Center for Musculoskeletal Surgery,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Center for Regenerative Therapies, Berlin Institute of  Health at Charite - Universitatsmedizin Berlin,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BIH  Biomedical Innovation Academy, BIH Charite Clinician Scientist Program,  Anna-Louisa-Karsch-Strasse 2, 10178, Berlin, Germany.&lt;/_author_adr&gt;&lt;_date_display&gt;2023 Jan 10&lt;/_date_display&gt;&lt;_date&gt;2023-01-10&lt;/_date&gt;&lt;_doi&gt;10.1186/s13075-022-02969-6&lt;/_doi&gt;&lt;_isbn&gt;1478-6362 (Electronic); 1478-6354 (Print); 1478-6354 (Linking)&lt;/_isbn&gt;&lt;_issue&gt;1&lt;/_issue&gt;&lt;_journal&gt;Arthritis Res Ther&lt;/_journal&gt;&lt;_keywords&gt;Immune system; Inflammation; Orthobiologics; Osteoarthritis; Regenerative therapies&lt;/_keywords&gt;&lt;_language&gt;eng&lt;/_language&gt;&lt;_ori_publication&gt;(c) 2023. The Author(s).&lt;/_ori_publication&gt;&lt;_pages&gt;6&lt;/_pages&gt;&lt;_subject_headings&gt;Humans; Tumor Necrosis Factor-alpha/metabolism; Chondrocytes/metabolism; Cytokines/metabolism; *Osteoarthritis/therapy/metabolism; *Platelet-Rich Plasma/metabolism&lt;/_subject_headings&gt;&lt;_tertiary_title&gt;Arthritis research &amp;amp; therapy&lt;/_tertiary_title&gt;&lt;_type_work&gt;Journal Article; Research Support, Non-U.S. Gov&amp;apos;t&lt;/_type_work&gt;&lt;_url&gt;http://www.ncbi.nlm.nih.gov/entrez/query.fcgi?cmd=Retrieve&amp;amp;db=pubmed&amp;amp;dopt=Abstract&amp;amp;list_uids=36627721&amp;amp;query_hl=1&lt;/_url&gt;&lt;_volume&gt;25&lt;/_volume&gt;&lt;_created&gt;65088704&lt;/_created&gt;&lt;_modified&gt;65088705&lt;/_modified&gt;&lt;_db_updated&gt;PubMed&lt;/_db_updated&gt;&lt;_impact_factor&gt;   5.156&lt;/_impact_factor&gt;&lt;_collection_scope&gt;SCI;SCIE&lt;/_collection_scope&gt;&lt;/Details&gt;&lt;Extra&gt;&lt;DBUID&gt;{F96A950B-833F-4880-A151-76DA2D6A2879}&lt;/DBUID&gt;&lt;/Extra&gt;&lt;/Item&gt;&lt;/References&gt;&lt;/Group&gt;&lt;Group&gt;&lt;References&gt;&lt;Item&gt;&lt;ID&gt;722&lt;/ID&gt;&lt;UID&gt;{F09C52ED-87E3-46EC-8DC4-E73B15B82394}&lt;/UID&gt;&lt;Title&gt;Modified platelet-rich plasma with transforming growth factor beta1 neutralization  antibody injection may reduce recurrence rate of urethral stricture&lt;/Title&gt;&lt;Template&gt;Journal Article&lt;/Template&gt;&lt;Star&gt;0&lt;/Star&gt;&lt;Tag&gt;0&lt;/Tag&gt;&lt;Author&gt;Gul, M&lt;/Author&gt;&lt;Year&gt;2016&lt;/Year&gt;&lt;Details&gt;&lt;_accession_num&gt;27876114&lt;/_accession_num&gt;&lt;_author_adr&gt;Department of Urology, Van Training and Research Hospital, Van, Turkey.  Electronic address: drgulacademics@gmail.com.&lt;/_author_adr&gt;&lt;_date_display&gt;2016 Dec&lt;/_date_display&gt;&lt;_date&gt;2016-12-01&lt;/_date&gt;&lt;_doi&gt;10.1016/j.mehy.2016.10.007&lt;/_doi&gt;&lt;_isbn&gt;1532-2777 (Electronic); 0306-9877 (Linking)&lt;/_isbn&gt;&lt;_journal&gt;Med Hypotheses&lt;/_journal&gt;&lt;_keywords&gt;Growth factors; Internal urethrotomy; Platelet-richplasma; Transforming Growth Factor beta1; Urethral stricture; Wound healing&lt;/_keywords&gt;&lt;_language&gt;eng&lt;/_language&gt;&lt;_ori_publication&gt;Copyright (c) 2016 Elsevier Ltd. All rights reserved.&lt;/_ori_publication&gt;&lt;_pages&gt;1-3&lt;/_pages&gt;&lt;_subject_headings&gt;Animals; Antibodies/*chemistry; Cytokines/metabolism; Fibrosis; Humans; Intercellular Signaling Peptides and Proteins/metabolism; Models, Theoretical; *Platelet-Rich Plasma; Recurrence; Regeneration; Transforming Growth Factor beta1/*chemistry/immunology; Treatment Outcome; Urethral Stricture/prevention &amp;amp; control/*therapy; Wound Healing&lt;/_subject_headings&gt;&lt;_tertiary_title&gt;Medical hypotheses&lt;/_tertiary_title&gt;&lt;_type_work&gt;Journal Article&lt;/_type_work&gt;&lt;_url&gt;http://www.ncbi.nlm.nih.gov/entrez/query.fcgi?cmd=Retrieve&amp;amp;db=pubmed&amp;amp;dopt=Abstract&amp;amp;list_uids=27876114&amp;amp;query_hl=1&lt;/_url&gt;&lt;_volume&gt;97&lt;/_volume&gt;&lt;_created&gt;65088704&lt;/_created&gt;&lt;_modified&gt;65088705&lt;/_modified&gt;&lt;_db_updated&gt;PubMed&lt;/_db_updated&gt;&lt;_impact_factor&gt;   1.538&lt;/_impact_factor&gt;&lt;_collection_scope&gt;SCI;SCIE&lt;/_collection_scope&gt;&lt;/Details&gt;&lt;Extra&gt;&lt;DBUID&gt;{F96A950B-833F-4880-A151-76DA2D6A2879}&lt;/DBUID&gt;&lt;/Extra&gt;&lt;/Item&gt;&lt;/References&gt;&lt;/Group&gt;&lt;/Citation&gt;_x000a_"/>
    <w:docVar w:name="NE.Ref{62BD4E21-85DD-46C4-9C15-81279D661AB7}" w:val=" ADDIN NE.Ref.{62BD4E21-85DD-46C4-9C15-81279D661AB7}&lt;Citation&gt;&lt;Group&gt;&lt;References&gt;&lt;Item&gt;&lt;ID&gt;718&lt;/ID&gt;&lt;UID&gt;{FC93B5C8-7B4B-4387-917F-B9F132A72153}&lt;/UID&gt;&lt;Title&gt;Individual immune cell and cytokine profiles determine platelet-rich plasma  composition&lt;/Title&gt;&lt;Template&gt;Journal Article&lt;/Template&gt;&lt;Star&gt;0&lt;/Star&gt;&lt;Tag&gt;0&lt;/Tag&gt;&lt;Author&gt;Niemann, M; Ort, M; Lauterbach, L; Streitz, M; Wilhelm, A; Grutz, G; Fleckenstein, F N; Graef, F; Blankenstein, A; Reinke, S; Stockle, U; Perka, C; Duda, G N; Geissler, S; Winkler, T; Maleitzke, T&lt;/Author&gt;&lt;Year&gt;2023&lt;/Year&gt;&lt;Details&gt;&lt;_accession_num&gt;36627721&lt;/_accession_num&gt;&lt;_author_adr&gt;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melanie.ort@charite.de.; Department of Biology, Chemistry and Pharmacy, Institute of Chemistry and  Biochemistry, Freie Universitat Berlin, 14195, Berlin, Germany.  melanie.ort@charite.de.; Berlin Institute of Health at Charite - Universitatsmedizin Berlin, Julius Wolff  Institute, Augustenburger Platz 1, 13353, Berlin, Germany.; Department of Experimental Animal Facilities and Biorisk Management,  Friedrich-Loeffler-Institut, Sudufer 10, 17493, Greifswald, Insel Riems, Germany.; Berlin Institute of Health at Charite - Universitatsmedizin Berlin, Julius Wolff  Institute, Augustenburger Platz 1, 13353, Berlin, Germany.; Berlin Institute of Health at Charite - Universitatsmedizin Berlin, Julius Wolff  Institute, Augustenburger Platz 1, 13353, Berlin, Germany.; Charite - Universitatsmedizin Berlin, corporate member of Freie Universitat  Berlin and Humboldt-Universitat zu Berlin, Department of Diagnostic and  Interventional Radiology, Augustenburger Platz 1, 13353, Berlin, Germany.; Berlin Institute of Health Center for Regenerative Therapies, Berlin Institute of  Health at Charite - Universitatsmedizin Berlin,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Charite - Universitatsmedizin Berlin, corporate member of Freie Universitat  Berlin and Humboldt-Universitat zu Berlin, Center for Musculoskeletal Surgery,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Julius Wolff  Institute,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Center for Regenerative Therapies, Berlin Institute of  Health at Charite - Universitatsmedizin Berlin, Augustenburger Platz 1, 13353,  Berlin, Germany.; Charite - Universitatsmedizin Berlin, corporate member of Freie Universitat  Berlin and Humboldt-Universitat zu Berlin, Center for Musculoskeletal Surgery,  Augustenburger Platz 1, 13353, Berlin, Germany.; Berlin Institute of Health at Charite - Universitatsmedizin Berlin, Julius Wolff  Institute, Augustenburger Platz 1, 13353, Berlin, Germany.; Berlin Institute of Health at Charite - Universitatsmedizin Berlin, BIH  Biomedical Innovation Academy, BIH Charite Clinician Scientist Program,  Anna-Louisa-Karsch-Strasse 2, 10178, Berlin, Germany.&lt;/_author_adr&gt;&lt;_date_display&gt;2023 Jan 10&lt;/_date_display&gt;&lt;_date&gt;2023-01-10&lt;/_date&gt;&lt;_doi&gt;10.1186/s13075-022-02969-6&lt;/_doi&gt;&lt;_isbn&gt;1478-6362 (Electronic); 1478-6354 (Print); 1478-6354 (Linking)&lt;/_isbn&gt;&lt;_issue&gt;1&lt;/_issue&gt;&lt;_journal&gt;Arthritis Res Ther&lt;/_journal&gt;&lt;_keywords&gt;Immune system; Inflammation; Orthobiologics; Osteoarthritis; Regenerative therapies&lt;/_keywords&gt;&lt;_language&gt;eng&lt;/_language&gt;&lt;_ori_publication&gt;(c) 2023. The Author(s).&lt;/_ori_publication&gt;&lt;_pages&gt;6&lt;/_pages&gt;&lt;_subject_headings&gt;Humans; Tumor Necrosis Factor-alpha/metabolism; Chondrocytes/metabolism; Cytokines/metabolism; *Osteoarthritis/therapy/metabolism; *Platelet-Rich Plasma/metabolism&lt;/_subject_headings&gt;&lt;_tertiary_title&gt;Arthritis research &amp;amp; therapy&lt;/_tertiary_title&gt;&lt;_type_work&gt;Journal Article; Research Support, Non-U.S. Gov&amp;apos;t&lt;/_type_work&gt;&lt;_url&gt;http://www.ncbi.nlm.nih.gov/entrez/query.fcgi?cmd=Retrieve&amp;amp;db=pubmed&amp;amp;dopt=Abstract&amp;amp;list_uids=36627721&amp;amp;query_hl=1&lt;/_url&gt;&lt;_volume&gt;25&lt;/_volume&gt;&lt;_created&gt;65088697&lt;/_created&gt;&lt;_modified&gt;65088698&lt;/_modified&gt;&lt;_db_updated&gt;PubMed&lt;/_db_updated&gt;&lt;_impact_factor&gt;   5.156&lt;/_impact_factor&gt;&lt;_collection_scope&gt;SCI;SCIE&lt;/_collection_scope&gt;&lt;/Details&gt;&lt;Extra&gt;&lt;DBUID&gt;{F96A950B-833F-4880-A151-76DA2D6A2879}&lt;/DBUID&gt;&lt;/Extra&gt;&lt;/Item&gt;&lt;/References&gt;&lt;/Group&gt;&lt;Group&gt;&lt;References&gt;&lt;Item&gt;&lt;ID&gt;717&lt;/ID&gt;&lt;UID&gt;{33F061DB-5736-4D7E-8573-EDD02038C71E}&lt;/UID&gt;&lt;Title&gt;Phase transitions during compression and decompression of clots from  platelet-poor plasma, platelet-rich plasma and whole blood&lt;/Title&gt;&lt;Template&gt;Journal Article&lt;/Template&gt;&lt;Star&gt;0&lt;/Star&gt;&lt;Tag&gt;0&lt;/Tag&gt;&lt;Author&gt;Liang, X; Chernysh, I; Purohit, P K; Weisel, J W&lt;/Author&gt;&lt;Year&gt;2017&lt;/Year&gt;&lt;Details&gt;&lt;_accession_num&gt;28694237&lt;/_accession_num&gt;&lt;_author_adr&gt;Department of Mechanical Engineering and Applied Mechanics, University of  Pennsylvania, Philadelphia, PA 19104, USA.; Department of Cell and Developmental Biology, Perelman School of Medicine,  University of Pennsylvania, Philadelphia, PA 19104, USA.; Department of Mechanical Engineering and Applied Mechanics, University of  Pennsylvania, Philadelphia, PA 19104, USA. Electronic address:  purohit@seas.upenn.edu.; Department of Cell and Developmental Biology, Perelman School of Medicine,  University of Pennsylvania, Philadelphia, PA 19104, USA.&lt;/_author_adr&gt;&lt;_date_display&gt;2017 Sep 15&lt;/_date_display&gt;&lt;_date&gt;2017-09-15&lt;/_date&gt;&lt;_doi&gt;10.1016/j.actbio.2017.07.011&lt;/_doi&gt;&lt;_isbn&gt;1878-7568 (Electronic); 1742-7061 (Linking)&lt;/_isbn&gt;&lt;_journal&gt;Acta Biomater&lt;/_journal&gt;&lt;_keywords&gt;Fibrin network; Phase transitions; Platelet poor plasma clots; Platelet rich plasma clots; Red blood cells; Whole blood clots&lt;/_keywords&gt;&lt;_language&gt;eng&lt;/_language&gt;&lt;_ori_publication&gt;Copyright (c) 2017 Acta Materialia Inc. Published by Elsevier Ltd. All rights _x000d__x000a_      reserved.&lt;/_ori_publication&gt;&lt;_pages&gt;275-290&lt;/_pages&gt;&lt;_subject_headings&gt;*Blood Coagulation; *Blood Platelets/chemistry/metabolism; *Elasticity; *Erythrocytes/chemistry/metabolism; Humans; *Models, Biological; *Platelet-Rich Plasma/chemistry/metabolism&lt;/_subject_headings&gt;&lt;_tertiary_title&gt;Acta biomaterialia&lt;/_tertiary_title&gt;&lt;_type_work&gt;Journal Article; Research Support, N.I.H., Extramural; Research Support, Non-U.S. Gov&amp;apos;t; Research Support, U.S. Gov&amp;apos;t, Non-P.H.S.&lt;/_type_work&gt;&lt;_url&gt;http://www.ncbi.nlm.nih.gov/entrez/query.fcgi?cmd=Retrieve&amp;amp;db=pubmed&amp;amp;dopt=Abstract&amp;amp;list_uids=28694237&amp;amp;query_hl=1&lt;/_url&gt;&lt;_volume&gt;60&lt;/_volume&gt;&lt;_created&gt;65088697&lt;/_created&gt;&lt;_modified&gt;65088698&lt;/_modified&gt;&lt;_db_updated&gt;PubMed&lt;/_db_updated&gt;&lt;_impact_factor&gt;   8.947&lt;/_impact_factor&gt;&lt;_collection_scope&gt;SCI;SCIE&lt;/_collection_scope&gt;&lt;/Details&gt;&lt;Extra&gt;&lt;DBUID&gt;{F96A950B-833F-4880-A151-76DA2D6A2879}&lt;/DBUID&gt;&lt;/Extra&gt;&lt;/Item&gt;&lt;/References&gt;&lt;/Group&gt;&lt;/Citation&gt;_x000a_"/>
    <w:docVar w:name="NE.Ref{68553297-A718-4FEB-821D-5B7BBD8CBDC7}" w:val=" ADDIN NE.Ref.{68553297-A718-4FEB-821D-5B7BBD8CBDC7}&lt;Citation&gt;&lt;Group&gt;&lt;References&gt;&lt;Item&gt;&lt;ID&gt;521&lt;/ID&gt;&lt;UID&gt;{99E874CD-072C-4DD2-919B-68AB39686AD6}&lt;/UID&gt;&lt;Title&gt;An overview of herbal alternatives in androgenetic alopecia&lt;/Title&gt;&lt;Template&gt;Journal Article&lt;/Template&gt;&lt;Star&gt;0&lt;/Star&gt;&lt;Tag&gt;0&lt;/Tag&gt;&lt;Author&gt;Dhariwala, M Y; Ravikumar, P&lt;/Author&gt;&lt;Year&gt;2019&lt;/Year&gt;&lt;Details&gt;&lt;_accession_num&gt;30980598&lt;/_accession_num&gt;&lt;_author_adr&gt;Dr. Bhanuben, Nanavati College of Pharmacy, Mumbai, India.; Dr. Bhanuben, Nanavati College of Pharmacy, Mumbai, India.&lt;/_author_adr&gt;&lt;_date_display&gt;2019 Aug&lt;/_date_display&gt;&lt;_date&gt;2019-08-01&lt;/_date&gt;&lt;_doi&gt;10.1111/jocd.12930&lt;/_doi&gt;&lt;_isbn&gt;1473-2165 (Electronic); 1473-2130 (Linking)&lt;/_isbn&gt;&lt;_issue&gt;4&lt;/_issue&gt;&lt;_journal&gt;J Cosmet Dermatol&lt;/_journal&gt;&lt;_keywords&gt;androgenetic alopecia; conventional drugs; dihydrotestosterone; herbal alternatives; mechanism of action; side effects&lt;/_keywords&gt;&lt;_language&gt;eng&lt;/_language&gt;&lt;_ori_publication&gt;(c) 2019 Wiley Periodicals, Inc.&lt;/_ori_publication&gt;&lt;_pages&gt;966-975&lt;/_pages&gt;&lt;_subject_headings&gt;5-alpha Reductase Inhibitors/pharmacology/*therapeutic use; Alopecia/*drug therapy/etiology; Camellia sinensis/chemistry; Cucurbita/chemistry; Dihydrotestosterone/*antagonists &amp;amp; inhibitors/metabolism; Glycyrrhiza/chemistry; Hair/drug effects/growth &amp;amp; development; Humans; Plant Extracts/pharmacology/*therapeutic use; Serenoa/chemistry; Vitis/chemistry&lt;/_subject_headings&gt;&lt;_tertiary_title&gt;Journal of cosmetic dermatology&lt;/_tertiary_title&gt;&lt;_type_work&gt;Journal Article; Review&lt;/_type_work&gt;&lt;_url&gt;http://www.ncbi.nlm.nih.gov/entrez/query.fcgi?cmd=Retrieve&amp;amp;db=pubmed&amp;amp;dopt=Abstract&amp;amp;list_uids=30980598&amp;amp;query_hl=1&lt;/_url&gt;&lt;_volume&gt;18&lt;/_volume&gt;&lt;_created&gt;65074621&lt;/_created&gt;&lt;_modified&gt;65074622&lt;/_modified&gt;&lt;_db_updated&gt;PubMed&lt;/_db_updated&gt;&lt;_impact_factor&gt;   2.696&lt;/_impact_factor&gt;&lt;/Details&gt;&lt;Extra&gt;&lt;DBUID&gt;{F96A950B-833F-4880-A151-76DA2D6A2879}&lt;/DBUID&gt;&lt;/Extra&gt;&lt;/Item&gt;&lt;/References&gt;&lt;/Group&gt;&lt;Group&gt;&lt;References&gt;&lt;Item&gt;&lt;ID&gt;519&lt;/ID&gt;&lt;UID&gt;{B4144FF1-0EAA-48EC-A789-B1E0BEDA433C}&lt;/UID&gt;&lt;Title&gt;Comparison of oral minoxidil, finasteride, and dutasteride for treating  androgenetic alopecia&lt;/Title&gt;&lt;Template&gt;Journal Article&lt;/Template&gt;&lt;Star&gt;0&lt;/Star&gt;&lt;Tag&gt;0&lt;/Tag&gt;&lt;Author&gt;Gupta, A K; Talukder, M; Williams, G&lt;/Author&gt;&lt;Year&gt;2022&lt;/Year&gt;&lt;Details&gt;&lt;_accession_num&gt;35920739&lt;/_accession_num&gt;&lt;_author_adr&gt;Mediprobe Research Inc., London, Canada.; Department of Medicine, Division of Dermatology, University of Toronto, Toronto,  Canada.; Mediprobe Research Inc., London, Canada.; Farjo Hair Institute, London, UK.&lt;/_author_adr&gt;&lt;_date_display&gt;2022 Nov&lt;/_date_display&gt;&lt;_date&gt;2022-11-01&lt;/_date&gt;&lt;_doi&gt;10.1080/09546634.2022.2109567&lt;/_doi&gt;&lt;_isbn&gt;1471-1753 (Electronic); 0954-6634 (Linking)&lt;/_isbn&gt;&lt;_issue&gt;7&lt;/_issue&gt;&lt;_journal&gt;J Dermatolog Treat&lt;/_journal&gt;&lt;_keywords&gt;Hair loss; androgenetic alopecia; female pattern hair loss; male pattern hair loss; oral dutasteride; oral finasteride; oral minoxidil&lt;/_keywords&gt;&lt;_language&gt;eng&lt;/_language&gt;&lt;_pages&gt;2946-2962&lt;/_pages&gt;&lt;_subject_headings&gt;Male; Humans; *Minoxidil/adverse effects; *Finasteride/adverse effects; Dutasteride/adverse effects; Hair; Alopecia/drug therapy; 5-alpha Reductase Inhibitors/adverse effects&lt;/_subject_headings&gt;&lt;_tertiary_title&gt;The Journal of dermatological treatment&lt;/_tertiary_title&gt;&lt;_type_work&gt;Journal Article; Review&lt;/_type_work&gt;&lt;_url&gt;http://www.ncbi.nlm.nih.gov/entrez/query.fcgi?cmd=Retrieve&amp;amp;db=pubmed&amp;amp;dopt=Abstract&amp;amp;list_uids=35920739&amp;amp;query_hl=1&lt;/_url&gt;&lt;_volume&gt;33&lt;/_volume&gt;&lt;_created&gt;65074621&lt;/_created&gt;&lt;_modified&gt;65074622&lt;/_modified&gt;&lt;_db_updated&gt;PubMed&lt;/_db_updated&gt;&lt;_impact_factor&gt;   3.359&lt;/_impact_factor&gt;&lt;/Details&gt;&lt;Extra&gt;&lt;DBUID&gt;{F96A950B-833F-4880-A151-76DA2D6A2879}&lt;/DBUID&gt;&lt;/Extra&gt;&lt;/Item&gt;&lt;/References&gt;&lt;/Group&gt;&lt;Group&gt;&lt;References&gt;&lt;Item&gt;&lt;ID&gt;520&lt;/ID&gt;&lt;UID&gt;{494C30AC-F37B-4842-BC2E-6F35CF08527E}&lt;/UID&gt;&lt;Title&gt;Dutasteride in Androgenetic Alopecia: An Update&lt;/Title&gt;&lt;Template&gt;Journal Article&lt;/Template&gt;&lt;Star&gt;0&lt;/Star&gt;&lt;Tag&gt;0&lt;/Tag&gt;&lt;Author&gt;Arif, T; Dorjay, K; Adil, M; Sami, M&lt;/Author&gt;&lt;Year&gt;2017&lt;/Year&gt;&lt;Details&gt;&lt;_accession_num&gt;28294070&lt;/_accession_num&gt;&lt;_author_adr&gt;Department of Dermatology, STDs and Leprosy, Jawaharlal Nehru Medical College  (JNMC), Aligarh Muslim University (AMU), Aligarh, India, Al-Rahman Apartment,  ground floor, Behind Zakaria market, New Sir Syed Nagar, Civil lines Aligarh.  India.; Department of Dermatology, Jawaharlal Nehru Medical College (JNMC), Aligarh  Muslim University (AMU), Aligarh, India.; Department of Dermatology, Jawaharlal Nehru Medical College (JNMC), Aligarh  Muslim University (AMU), Aligarh, India.; Ellahi Medicare, Kashmir. India.&lt;/_author_adr&gt;&lt;_date_display&gt;2017&lt;/_date_display&gt;&lt;_date&gt;2017-01-20&lt;/_date&gt;&lt;_doi&gt;10.2174/1574884712666170310111125&lt;/_doi&gt;&lt;_isbn&gt;2212-3938 (Electronic); 1574-8847 (Linking)&lt;/_isbn&gt;&lt;_issue&gt;1&lt;/_issue&gt;&lt;_journal&gt;Curr Clin Pharmacol&lt;/_journal&gt;&lt;_keywords&gt;5-alpha-reductase; Androgenetic alopecia; dihydrotestosterone; dutasteride; finasteride; minoxidil; testosterone&lt;/_keywords&gt;&lt;_language&gt;eng&lt;/_language&gt;&lt;_ori_publication&gt;Copyright(c) Bentham Science Publishers; For any queries, please email at _x000d__x000a_      epub@benthamscience.org.&lt;/_ori_publication&gt;&lt;_pages&gt;31-35&lt;/_pages&gt;&lt;_subject_headings&gt;5-alpha Reductase Inhibitors/adverse _x000d__x000a_      effects/chemistry/pharmacokinetics/*therapeutic use; Alopecia/*drug therapy/metabolism/physiopathology; Animals; Dihydrotestosterone/metabolism; Dutasteride/adverse effects/chemistry/pharmacokinetics/*therapeutic use; Female; Finasteride/therapeutic use; Hair/*drug effects/growth &amp;amp; development/metabolism; Humans; Male; Treatment Outcome&lt;/_subject_headings&gt;&lt;_tertiary_title&gt;Current clinical pharmacology&lt;/_tertiary_title&gt;&lt;_type_work&gt;Journal Article; Review&lt;/_type_work&gt;&lt;_url&gt;http://www.ncbi.nlm.nih.gov/entrez/query.fcgi?cmd=Retrieve&amp;amp;db=pubmed&amp;amp;dopt=Abstract&amp;amp;list_uids=28294070&amp;amp;query_hl=1&lt;/_url&gt;&lt;_volume&gt;12&lt;/_volume&gt;&lt;_created&gt;65074621&lt;/_created&gt;&lt;_modified&gt;65074622&lt;/_modified&gt;&lt;_db_updated&gt;PubMed&lt;/_db_updated&gt;&lt;/Details&gt;&lt;Extra&gt;&lt;DBUID&gt;{F96A950B-833F-4880-A151-76DA2D6A2879}&lt;/DBUID&gt;&lt;/Extra&gt;&lt;/Item&gt;&lt;/References&gt;&lt;/Group&gt;&lt;/Citation&gt;_x000a_"/>
    <w:docVar w:name="NE.Ref{6BCB2473-2FAD-4B14-89F4-438019950D26}" w:val=" ADDIN NE.Ref.{6BCB2473-2FAD-4B14-89F4-438019950D26}&lt;Citation&gt;&lt;Group&gt;&lt;References&gt;&lt;Item&gt;&lt;ID&gt;715&lt;/ID&gt;&lt;UID&gt;{19C49FC3-E384-4C0D-981F-431EF41E221A}&lt;/UID&gt;&lt;Title&gt;Platelet-rich plasma for the treatment of alopecia: a systematic review and  meta-analysis&lt;/Title&gt;&lt;Template&gt;Journal Article&lt;/Template&gt;&lt;Star&gt;0&lt;/Star&gt;&lt;Tag&gt;0&lt;/Tag&gt;&lt;Author&gt;Cruciani, M; Masiello, F; Pati, I; Marano, G; Pupella, S; De Angelis, V&lt;/Author&gt;&lt;Year&gt;2023&lt;/Year&gt;&lt;Details&gt;&lt;_accession_num&gt;34967722&lt;/_accession_num&gt;&lt;_author_adr&gt;Italian National Blood Centre, National Institute of Health, Rome, Italy.; Italian National Blood Centre, National Institute of Health, Rome, Italy.; Italian National Blood Centre, National Institute of Health, Rome, Italy.; Italian National Blood Centre, National Institute of Health, Rome, Italy.; Italian National Blood Centre, National Institute of Health, Rome, Italy.; Italian National Blood Centre, National Institute of Health, Rome, Italy.&lt;/_author_adr&gt;&lt;_date_display&gt;2023 Jan&lt;/_date_display&gt;&lt;_date&gt;2023-01-01&lt;/_date&gt;&lt;_doi&gt;10.2450/2021.0216-21&lt;/_doi&gt;&lt;_isbn&gt;2385-2070 (Electronic); 1723-2007 (Print); 1723-2007 (Linking)&lt;/_isbn&gt;&lt;_issue&gt;1&lt;/_issue&gt;&lt;_journal&gt;Blood Transfus&lt;/_journal&gt;&lt;_language&gt;eng&lt;/_language&gt;&lt;_pages&gt;24-36&lt;/_pages&gt;&lt;_subject_headings&gt;Humans; *Alopecia Areata/therapy; Clinical Protocols; *Platelet-Rich Plasma; Treatment Outcome&lt;/_subject_headings&gt;&lt;_tertiary_title&gt;Blood transfusion = Trasfusione del sangue&lt;/_tertiary_title&gt;&lt;_type_work&gt;Journal Article; Meta-Analysis; Review; Systematic Review&lt;/_type_work&gt;&lt;_url&gt;http://www.ncbi.nlm.nih.gov/entrez/query.fcgi?cmd=Retrieve&amp;amp;db=pubmed&amp;amp;dopt=Abstract&amp;amp;list_uids=34967722&amp;amp;query_hl=1&lt;/_url&gt;&lt;_volume&gt;21&lt;/_volume&gt;&lt;_created&gt;65088693&lt;/_created&gt;&lt;_modified&gt;65088696&lt;/_modified&gt;&lt;_db_updated&gt;PubMed&lt;/_db_updated&gt;&lt;_impact_factor&gt;   3.443&lt;/_impact_factor&gt;&lt;/Details&gt;&lt;Extra&gt;&lt;DBUID&gt;{F96A950B-833F-4880-A151-76DA2D6A2879}&lt;/DBUID&gt;&lt;/Extra&gt;&lt;/Item&gt;&lt;/References&gt;&lt;/Group&gt;&lt;Group&gt;&lt;References&gt;&lt;Item&gt;&lt;ID&gt;716&lt;/ID&gt;&lt;UID&gt;{8B38244A-55D8-49F6-BD21-A54350F89F22}&lt;/UID&gt;&lt;Title&gt;Platelet-rich plasma as a therapy for androgenic alopecia: a systematic review  and meta-analysis&lt;/Title&gt;&lt;Template&gt;Journal Article&lt;/Template&gt;&lt;Star&gt;0&lt;/Star&gt;&lt;Tag&gt;0&lt;/Tag&gt;&lt;Author&gt;Evans, A G; Mwangi, J M; Pope, R W; Ivanic, M G; Botros, M A; Glassman, G E; Pearce, FB Jr; Kassis, S&lt;/Author&gt;&lt;Year&gt;2022&lt;/Year&gt;&lt;Details&gt;&lt;_accession_num&gt;32410524&lt;/_accession_num&gt;&lt;_author_adr&gt;School of Medicine, Meharry Medical College, Nashville, TN, USA.; School of Medicine, Meharry Medical College, Nashville, TN, USA.; School of Medicine, Vanderbilt University, Nashville, TN, USA.; School of Medicine, Meharry Medical College, Nashville, TN, USA.; School of Medicine, Meharry Medical College, Nashville, TN, USA.; Department of Plastic Surgery, Vanderbilt University Medical Center, Nashville,  TN, USA.; Department of Plastic Surgery, Vanderbilt University Medical Center, Nashville,  TN, USA.; Department of Plastic Surgery, Vanderbilt University Medical Center, Nashville,  TN, USA.&lt;/_author_adr&gt;&lt;_date_display&gt;2022 Feb&lt;/_date_display&gt;&lt;_date&gt;2022-02-01&lt;/_date&gt;&lt;_doi&gt;10.1080/09546634.2020.1770171&lt;/_doi&gt;&lt;_isbn&gt;1471-1753 (Electronic); 0954-6634 (Linking)&lt;/_isbn&gt;&lt;_issue&gt;1&lt;/_issue&gt;&lt;_journal&gt;J Dermatolog Treat&lt;/_journal&gt;&lt;_keywords&gt;Platelet-rich plasma; androgenic alopecia; hair loss; injection therapy&lt;/_keywords&gt;&lt;_language&gt;eng&lt;/_language&gt;&lt;_pages&gt;498-511&lt;/_pages&gt;&lt;_subject_headings&gt;*Alopecia/therapy; Female; Hair; Humans; Male; *Platelet-Rich Plasma; Transplantation, Autologous; Treatment Outcome&lt;/_subject_headings&gt;&lt;_tertiary_title&gt;The Journal of dermatological treatment&lt;/_tertiary_title&gt;&lt;_type_work&gt;Journal Article; Meta-Analysis; Systematic Review&lt;/_type_work&gt;&lt;_url&gt;http://www.ncbi.nlm.nih.gov/entrez/query.fcgi?cmd=Retrieve&amp;amp;db=pubmed&amp;amp;dopt=Abstract&amp;amp;list_uids=32410524&amp;amp;query_hl=1&lt;/_url&gt;&lt;_volume&gt;33&lt;/_volume&gt;&lt;_created&gt;65088693&lt;/_created&gt;&lt;_modified&gt;65088696&lt;/_modified&gt;&lt;_db_updated&gt;PubMed&lt;/_db_updated&gt;&lt;_impact_factor&gt;   3.359&lt;/_impact_factor&gt;&lt;/Details&gt;&lt;Extra&gt;&lt;DBUID&gt;{F96A950B-833F-4880-A151-76DA2D6A2879}&lt;/DBUID&gt;&lt;/Extra&gt;&lt;/Item&gt;&lt;/References&gt;&lt;/Group&gt;&lt;/Citation&gt;_x000a_"/>
    <w:docVar w:name="NE.Ref{891A2B46-BB08-4CEC-8583-506453824892}" w:val=" ADDIN NE.Ref.{891A2B46-BB08-4CEC-8583-506453824892}&lt;Citation&gt;&lt;Group&gt;&lt;References&gt;&lt;Item&gt;&lt;ID&gt;721&lt;/ID&gt;&lt;UID&gt;{5D7EA627-1E9E-4610-A86C-6051756738E0}&lt;/UID&gt;&lt;Title&gt;Comparative Evaluation of the Clinical Efficacy of PRP-Therapy, Minoxidil, and  Their Combination with Immunohistochemical Study of the Dynamics of Cell  Proliferation in the Treatment of Men with Androgenetic Alopecia&lt;/Title&gt;&lt;Template&gt;Journal Article&lt;/Template&gt;&lt;Star&gt;0&lt;/Star&gt;&lt;Tag&gt;0&lt;/Tag&gt;&lt;Author&gt;Pakhomova, E E; Smirnova, I O&lt;/Author&gt;&lt;Year&gt;2020&lt;/Year&gt;&lt;Details&gt;&lt;_accession_num&gt;32899959&lt;/_accession_num&gt;&lt;_author_adr&gt;Department of Infectious Diseases, Epidemiology and Dermatovenereology, St.  Petersburg State University, 199034 St. Petersburg, Russia.; Thichology Center of Hair Treatment, 191123 St. Petersburg, Russia.; Department of Infectious Diseases, Epidemiology and Dermatovenereology, St.  Petersburg State University, 199034 St. Petersburg, Russia.&lt;/_author_adr&gt;&lt;_date_display&gt;2020 Sep 6&lt;/_date_display&gt;&lt;_date&gt;2020-09-06&lt;/_date&gt;&lt;_doi&gt;10.3390/ijms21186516&lt;/_doi&gt;&lt;_isbn&gt;1422-0067 (Electronic); 1422-0067 (Linking)&lt;/_isbn&gt;&lt;_issue&gt;18&lt;/_issue&gt;&lt;_journal&gt;Int J Mol Sci&lt;/_journal&gt;&lt;_keywords&gt;CD34; Dkk-1; Ki67; androgenetic alopecia (AGA); hair follicle cell proliferation; hair morphometry; minoxidil; platelet-rich plasma (PRP); beta-catenin&lt;/_keywords&gt;&lt;_language&gt;eng&lt;/_language&gt;&lt;_subject_headings&gt;Adult; Alopecia/drug therapy/pathology/*therapy; Biopsy; Cell Count; *Cell Proliferation/drug effects; Combined Modality Therapy; Hair/drug effects/metabolism/pathology; Hair Follicle/drug effects/pathology/*physiology; Humans; Immunohistochemistry; Male; Minoxidil/*administration &amp;amp; dosage; Platelet Transfusion/methods; Platelet-Rich Plasma/*physiology; Scalp/drug effects/pathology; Treatment Outcome; Young Adult&lt;/_subject_headings&gt;&lt;_tertiary_title&gt;International journal of molecular sciences&lt;/_tertiary_title&gt;&lt;_type_work&gt;Comparative Study; Journal Article; Randomized Controlled Trial&lt;/_type_work&gt;&lt;_url&gt;http://www.ncbi.nlm.nih.gov/entrez/query.fcgi?cmd=Retrieve&amp;amp;db=pubmed&amp;amp;dopt=Abstract&amp;amp;list_uids=32899959&amp;amp;query_hl=1&lt;/_url&gt;&lt;_volume&gt;21&lt;/_volume&gt;&lt;_created&gt;65088701&lt;/_created&gt;&lt;_modified&gt;65088702&lt;/_modified&gt;&lt;_db_updated&gt;PubMed&lt;/_db_updated&gt;&lt;_impact_factor&gt;   5.924&lt;/_impact_factor&gt;&lt;_collection_scope&gt;SCIE&lt;/_collection_scope&gt;&lt;/Details&gt;&lt;Extra&gt;&lt;DBUID&gt;{F96A950B-833F-4880-A151-76DA2D6A2879}&lt;/DBUID&gt;&lt;/Extra&gt;&lt;/Item&gt;&lt;/References&gt;&lt;/Group&gt;&lt;/Citation&gt;_x000a_"/>
    <w:docVar w:name="NE.Ref{AF1E80CA-E12A-44CD-ABC2-FB0BC3B3B4F2}" w:val=" ADDIN NE.Ref.{AF1E80CA-E12A-44CD-ABC2-FB0BC3B3B4F2}&lt;Citation&gt;&lt;Group&gt;&lt;References&gt;&lt;Item&gt;&lt;ID&gt;724&lt;/ID&gt;&lt;UID&gt;{E61FF53F-2A40-4175-9EE1-F709C434BF9A}&lt;/UID&gt;&lt;Title&gt;Injections in the osteoarthritic knee: a review of current treatment options&lt;/Title&gt;&lt;Template&gt;Journal Article&lt;/Template&gt;&lt;Star&gt;0&lt;/Star&gt;&lt;Tag&gt;0&lt;/Tag&gt;&lt;Author&gt;Fusco, G; Gambaro, F M; Di Matteo, B; Kon, E&lt;/Author&gt;&lt;Year&gt;2021&lt;/Year&gt;&lt;Details&gt;&lt;_accession_num&gt;34267940&lt;/_accession_num&gt;&lt;_author_adr&gt;Humanitas University, Department of Biomedical Sciences, Milan, Italy.; IRCCS Humanitas Research Hospital, Milan, Italy.; These authors contributed equally to the article and should both be considered  first authors.; Humanitas University, Department of Biomedical Sciences, Milan, Italy.; IRCCS Humanitas Research Hospital, Milan, Italy.; These authors contributed equally to the article and should both be considered  first authors.; Humanitas University, Department of Biomedical Sciences, Milan, Italy.; First Moscow State Medical University - Sechenov University, Moscow, Russia.; Humanitas University, Department of Biomedical Sciences, Milan, Italy.; IRCCS Humanitas Research Hospital, Milan, Italy.&lt;/_author_adr&gt;&lt;_date_display&gt;2021 Jun&lt;/_date_display&gt;&lt;_date&gt;2021-06-01&lt;/_date&gt;&lt;_doi&gt;10.1302/2058-5241.6.210026&lt;/_doi&gt;&lt;_isbn&gt;2058-5241 (Print); 2058-5241 (Electronic); 2058-5241 (Linking)&lt;/_isbn&gt;&lt;_issue&gt;6&lt;/_issue&gt;&lt;_journal&gt;EFORT Open Rev&lt;/_journal&gt;&lt;_keywords&gt;injection; osteoarthritis; stem cells&lt;/_keywords&gt;&lt;_language&gt;eng&lt;/_language&gt;&lt;_ori_publication&gt;(c) 2021 The author(s).&lt;/_ori_publication&gt;&lt;_pages&gt;501-509&lt;/_pages&gt;&lt;_tertiary_title&gt;EFORT open reviews&lt;/_tertiary_title&gt;&lt;_type_work&gt;Journal Article; Review&lt;/_type_work&gt;&lt;_url&gt;http://www.ncbi.nlm.nih.gov/entrez/query.fcgi?cmd=Retrieve&amp;amp;db=pubmed&amp;amp;dopt=Abstract&amp;amp;list_uids=34267940&amp;amp;query_hl=1&lt;/_url&gt;&lt;_volume&gt;6&lt;/_volume&gt;&lt;_created&gt;65088704&lt;/_created&gt;&lt;_modified&gt;65088707&lt;/_modified&gt;&lt;_db_updated&gt;PubMed&lt;/_db_updated&gt;&lt;/Details&gt;&lt;Extra&gt;&lt;DBUID&gt;{F96A950B-833F-4880-A151-76DA2D6A2879}&lt;/DBUID&gt;&lt;/Extra&gt;&lt;/Item&gt;&lt;/References&gt;&lt;/Group&gt;&lt;/Citation&gt;_x000a_"/>
    <w:docVar w:name="NE.Ref{BC05798F-B4CB-4B82-8F57-9A70BB0032F2}" w:val=" ADDIN NE.Ref.{BC05798F-B4CB-4B82-8F57-9A70BB0032F2}&lt;Citation&gt;&lt;Group&gt;&lt;References&gt;&lt;Item&gt;&lt;ID&gt;727&lt;/ID&gt;&lt;UID&gt;{92146AA2-D9AB-460B-BBCD-9DCE779310CD}&lt;/UID&gt;&lt;Title&gt;Assessing the effectiveness of the combination therapy with fractional Er-YAG  laser and platelet-rich plasma in treatment of periorbital dark circles patients:  A clinical trial&lt;/Title&gt;&lt;Template&gt;Journal Article&lt;/Template&gt;&lt;Star&gt;0&lt;/Star&gt;&lt;Tag&gt;0&lt;/Tag&gt;&lt;Author&gt;Nilforoushzadeh, M A; Heidari-Kharaji, M; Alavi, S; Mahmoudbeyk, M; Torkamaniha, E; Peyrovan, A; Nouri, M; Zare, S&lt;/Author&gt;&lt;Year&gt;2021&lt;/Year&gt;&lt;Details&gt;&lt;_accession_num&gt;33638928&lt;/_accession_num&gt;&lt;_author_adr&gt;Skin and Stem Cell Research Center, Tehran University of Medical Sciences,  Tehran, Iran.; Jordan Dermatology and Hair Transplantation Center, Tehran, Iran.; Skin and Stem Cell Research Center, Tehran University of Medical Sciences,  Tehran, Iran.; Jordan Dermatology and Hair Transplantation Center, Tehran, Iran.; Skin and Stem Cell Research Center, Tehran University of Medical Sciences,  Tehran, Iran.; Skin and Stem Cell Research Center, Tehran University of Medical Sciences,  Tehran, Iran.; Skin and Stem Cell Research Center, Tehran University of Medical Sciences,  Tehran, Iran.; Jordan Dermatology and Hair Transplantation Center, Tehran, Iran.; Skin and Stem Cell Research Center, Tehran University of Medical Sciences,  Tehran, Iran.; Skin and Stem Cell Research Center, Tehran University of Medical Sciences,  Tehran, Iran.; Skin and Stem Cell Research Center, Tehran University of Medical Sciences,  Tehran, Iran.&lt;/_author_adr&gt;&lt;_date_display&gt;2021 Nov&lt;/_date_display&gt;&lt;_date&gt;2021-11-01&lt;/_date&gt;&lt;_doi&gt;10.1111/jocd.14036&lt;/_doi&gt;&lt;_isbn&gt;1473-2165 (Electronic); 1473-2130 (Linking)&lt;/_isbn&gt;&lt;_issue&gt;11&lt;/_issue&gt;&lt;_journal&gt;J Cosmet Dermatol&lt;/_journal&gt;&lt;_keywords&gt;Erb-Yag laser; autologous platelet-rich plasma; combination therapy; periorbital dark circles&lt;/_keywords&gt;&lt;_language&gt;eng&lt;/_language&gt;&lt;_ori_publication&gt;(c) 2021 Wiley Periodicals LLC.&lt;/_ori_publication&gt;&lt;_pages&gt;3526-3536&lt;/_pages&gt;&lt;_subject_headings&gt;Face; Humans; *Lasers, Solid-State/therapeutic use; *Platelet-Rich Plasma; Rejuvenation; *Skin Aging&lt;/_subject_headings&gt;&lt;_tertiary_title&gt;Journal of cosmetic dermatology&lt;/_tertiary_title&gt;&lt;_type_work&gt;Clinical Trial; Journal Article&lt;/_type_work&gt;&lt;_url&gt;http://www.ncbi.nlm.nih.gov/entrez/query.fcgi?cmd=Retrieve&amp;amp;db=pubmed&amp;amp;dopt=Abstract&amp;amp;list_uids=33638928&amp;amp;query_hl=1&lt;/_url&gt;&lt;_volume&gt;20&lt;/_volume&gt;&lt;_created&gt;65097130&lt;/_created&gt;&lt;_modified&gt;65097130&lt;/_modified&gt;&lt;_db_updated&gt;PubMed&lt;/_db_updated&gt;&lt;_impact_factor&gt;   2.696&lt;/_impact_factor&gt;&lt;/Details&gt;&lt;Extra&gt;&lt;DBUID&gt;{F96A950B-833F-4880-A151-76DA2D6A2879}&lt;/DBUID&gt;&lt;/Extra&gt;&lt;/Item&gt;&lt;/References&gt;&lt;/Group&gt;&lt;/Citation&gt;_x000a_"/>
    <w:docVar w:name="NE.Ref{CB3AD95B-F1FB-4803-BF7A-C71A160B0386}" w:val=" ADDIN NE.Ref.{CB3AD95B-F1FB-4803-BF7A-C71A160B0386}&lt;Citation&gt;&lt;Group&gt;&lt;References&gt;&lt;Item&gt;&lt;ID&gt;728&lt;/ID&gt;&lt;UID&gt;{D6C11842-5C6F-4686-BFD7-B117CC9A03AA}&lt;/UID&gt;&lt;Title&gt;Autologous activated platelet-rich plasma (AA-PRP) and non-activated (A-PRP) in  hair growth: a retrospective, blinded, randomized evaluation in androgenetic  alopecia&lt;/Title&gt;&lt;Template&gt;Journal Article&lt;/Template&gt;&lt;Star&gt;0&lt;/Star&gt;&lt;Tag&gt;0&lt;/Tag&gt;&lt;Author&gt;Gentile, P; Garcovich, S&lt;/Author&gt;&lt;Year&gt;2020&lt;/Year&gt;&lt;Details&gt;&lt;_accession_num&gt;32011196&lt;/_accession_num&gt;&lt;_author_adr&gt;Department of Surgical Sciences, Plastic and Reconstructive Surgery, University  of Rome &amp;quot;Tor Vergata&amp;quot; School of Medicine, Rome, Italy.; Institute of Dermatology, F. Policlinico Gemelli IRCSS, Universita Cattolica del  Sacro Cuore, Rome, Italy.&lt;/_author_adr&gt;&lt;_date_display&gt;2020 Mar&lt;/_date_display&gt;&lt;_date&gt;2020-03-01&lt;/_date&gt;&lt;_doi&gt;10.1080/14712598.2020.1724951&lt;/_doi&gt;&lt;_isbn&gt;1744-7682 (Electronic); 1471-2598 (Linking)&lt;/_isbn&gt;&lt;_issue&gt;3&lt;/_issue&gt;&lt;_journal&gt;Expert Opin Biol Ther&lt;/_journal&gt;&lt;_keywords&gt;Hair; PRP hair loss; PRP hair re-growth; Platelet rich plasma; hair loss; hair regrowth&lt;/_keywords&gt;&lt;_language&gt;eng&lt;/_language&gt;&lt;_pages&gt;327-337&lt;/_pages&gt;&lt;_subject_headings&gt;Adult; Aged; Alopecia/pathology/*therapy; Epidermis/pathology; Female; Hair/*growth &amp;amp; development/pathology; Humans; Male; Middle Aged; Platelet-Rich Plasma/*chemistry; Retrospective Studies; Severity of Illness Index; Single-Blind Method; Transplantation, Autologous; Treatment Outcome; Young Adult&lt;/_subject_headings&gt;&lt;_tertiary_title&gt;Expert opinion on biological therapy&lt;/_tertiary_title&gt;&lt;_type_work&gt;Journal Article; Randomized Controlled Trial&lt;/_type_work&gt;&lt;_url&gt;http://www.ncbi.nlm.nih.gov/entrez/query.fcgi?cmd=Retrieve&amp;amp;db=pubmed&amp;amp;dopt=Abstract&amp;amp;list_uids=32011196&amp;amp;query_hl=1&lt;/_url&gt;&lt;_volume&gt;20&lt;/_volume&gt;&lt;_created&gt;65097130&lt;/_created&gt;&lt;_modified&gt;65097130&lt;/_modified&gt;&lt;_db_updated&gt;PubMed&lt;/_db_updated&gt;&lt;_impact_factor&gt;   4.388&lt;/_impact_factor&gt;&lt;/Details&gt;&lt;Extra&gt;&lt;DBUID&gt;{F96A950B-833F-4880-A151-76DA2D6A2879}&lt;/DBUID&gt;&lt;/Extra&gt;&lt;/Item&gt;&lt;/References&gt;&lt;/Group&gt;&lt;/Citation&gt;_x000a_"/>
    <w:docVar w:name="NE.Ref{F18D799D-9D5C-4D53-9735-376F523BB1AD}" w:val=" ADDIN NE.Ref.{F18D799D-9D5C-4D53-9735-376F523BB1AD}&lt;Citation&gt;&lt;Group&gt;&lt;References&gt;&lt;Item&gt;&lt;ID&gt;719&lt;/ID&gt;&lt;UID&gt;{08C47798-E710-42C5-AD51-F6E3D6E9E8F9}&lt;/UID&gt;&lt;Title&gt;Platelet-rich plasma: are the obtaining methods, classification and clinical  outcome always connected?&lt;/Title&gt;&lt;Template&gt;Journal Article&lt;/Template&gt;&lt;Star&gt;0&lt;/Star&gt;&lt;Tag&gt;0&lt;/Tag&gt;&lt;Author&gt;Anitua, E; Padilla, S; Prado, R; Alkhraisat, M H&lt;/Author&gt;&lt;Year&gt;2022&lt;/Year&gt;&lt;Details&gt;&lt;_accession_num&gt;36169230&lt;/_accession_num&gt;&lt;_author_adr&gt;Eduardo Anitua Foundation for Biomedical Research, Vitoria, Spain.; Regenerative Medicine Laboratory, BTI Biotechnology Institute ImasD, Vitoria,  Spain.; Eduardo Anitua Foundation for Biomedical Research, Vitoria, Spain.; Regenerative Medicine Laboratory, BTI Biotechnology Institute ImasD, Vitoria,  Spain.; Eduardo Anitua Foundation for Biomedical Research, Vitoria, Spain.; Regenerative Medicine Laboratory, BTI Biotechnology Institute ImasD, Vitoria,  Spain.; Eduardo Anitua Foundation for Biomedical Research, Vitoria, Spain.; Regenerative Medicine Laboratory, BTI Biotechnology Institute ImasD, Vitoria,  Spain.&lt;/_author_adr&gt;&lt;_date_display&gt;2022 Dec&lt;/_date_display&gt;&lt;_date&gt;2022-12-01&lt;/_date&gt;&lt;_doi&gt;10.2217/rme-2022-0118&lt;/_doi&gt;&lt;_isbn&gt;1746-076X (Electronic); 1746-0751 (Linking)&lt;/_isbn&gt;&lt;_issue&gt;12&lt;/_issue&gt;&lt;_journal&gt;Regen Med&lt;/_journal&gt;&lt;_keywords&gt;PRP; classification; medical device; platelet-rich plasma; regenerative medicine; tissue engineering&lt;/_keywords&gt;&lt;_language&gt;eng&lt;/_language&gt;&lt;_pages&gt;887-890&lt;/_pages&gt;&lt;_subject_headings&gt;*Platelet-Rich Plasma; Regenerative Medicine&lt;/_subject_headings&gt;&lt;_tertiary_title&gt;Regenerative medicine&lt;/_tertiary_title&gt;&lt;_type_work&gt;Editorial&lt;/_type_work&gt;&lt;_url&gt;http://www.ncbi.nlm.nih.gov/entrez/query.fcgi?cmd=Retrieve&amp;amp;db=pubmed&amp;amp;dopt=Abstract&amp;amp;list_uids=36169230&amp;amp;query_hl=1&lt;/_url&gt;&lt;_volume&gt;17&lt;/_volume&gt;&lt;_created&gt;65088699&lt;/_created&gt;&lt;_modified&gt;65088700&lt;/_modified&gt;&lt;_db_updated&gt;PubMed&lt;/_db_updated&gt;&lt;_impact_factor&gt;   3.806&lt;/_impact_factor&gt;&lt;_collection_scope&gt;SCIE&lt;/_collection_scope&gt;&lt;/Details&gt;&lt;Extra&gt;&lt;DBUID&gt;{F96A950B-833F-4880-A151-76DA2D6A2879}&lt;/DBUID&gt;&lt;/Extra&gt;&lt;/Item&gt;&lt;/References&gt;&lt;/Group&gt;&lt;Group&gt;&lt;References&gt;&lt;Item&gt;&lt;ID&gt;720&lt;/ID&gt;&lt;UID&gt;{8DC2F0D9-E7F0-4A82-9270-94A064BA98FD}&lt;/UID&gt;&lt;Title&gt;Platelet-rich plasma for the treatment of knee osteoarthritis: an expert opinion  and proposal for a novel classification and coding system&lt;/Title&gt;&lt;Template&gt;Journal Article&lt;/Template&gt;&lt;Star&gt;0&lt;/Star&gt;&lt;Tag&gt;0&lt;/Tag&gt;&lt;Author&gt;Kon, E; Di Matteo, B; Delgado, D; Cole, B J; Dorotei, A; Dragoo, J L; Filardo, G; Fortier, L A; Giuffrida, A; Jo, C H; Magalon, J; Malanga, G A; Mishra, A; Nakamura, N; Rodeo, S A; Sampson, S; Sanchez, M&lt;/Author&gt;&lt;Year&gt;2020&lt;/Year&gt;&lt;Details&gt;&lt;_accession_num&gt;32692595&lt;/_accession_num&gt;&lt;_author_adr&gt;Department of Biomedical Sciences, Humanitas University , Milan, Italy.; Humanitas Clinical and Research Center, IRCCS , Rozzano, Milan, Italy.; Department of Biomedical Sciences, Humanitas University , Milan, Italy.; Humanitas Clinical and Research Center, IRCCS , Rozzano, Milan, Italy.; First Moscow State Medical University - Sechenov University , Moscow, Russia.; Advanced Biological Therapy Unit, Hospital Vithas San Jose , Vitoria-Gasteiz,  Spain.; Department of Orthopaedics, Rush University Medical Center , Chicago, Illinois,  USA.; Department of Biomedical Sciences, Humanitas University , Milan, Italy.; Humanitas Clinical and Research Center, IRCCS , Rozzano, Milan, Italy.; Department of Orthopedic Surgery, University of Colorado , Englewood, Colorado,  USA.; Applied and Translational Research (ATR) Center, IRCCS Istituto Ortopedico  Rizzoli , Bologna, Italy.; Department of Clinical Sciences, College of Veterinary Medicine, Cornell  University , Ithaca, NY, USA.; Department of Biomedical Sciences, Humanitas University , Milan, Italy.; Humanitas Clinical and Research Center, IRCCS , Rozzano, Milan, Italy.; Department of Orthopedic Surgery, Seoul Metropolitan Government-Seoul National  University Boramae Medical Center, Seoul National University College of Medicine  , Seoul, Republic of Korea.; Aix Marseille Univ, INSERM, INRA, C2VN , Marseille, France.; Cell Therapy Laboratory, Hopital De La Conception, AP-HM, IN, SERM CIC BT ,  Marseille, France.; New Jersey Regenerative Institute LLC, Cedar Knolls, NJ; Department of Physical  Medicine and Rehabilitation, Rutgers University, New Jersey Medical School ,  Newark, NJ, USA.; Department of Orthopaedic Surgery, Menlo Medical Clinic, Stanford University  Medical Center, Menlo Park , CA, USA.; Institute for Medical Science in Sports, Osaka Health Science University , Osaka,  Japan.; Orthopaedic Soft Tissue Research Program, Hospital for Special Surgery , New  York, New York, USA.; David Geffen School of Medicine at UCLA , Los Angeles, CA, USA.; Advanced Biological Therapy Unit, Hospital Vithas San Jose , Vitoria-Gasteiz,  Spain.; Arthroscopic Surgery Unit, Hospital Vithas San Jose , Vitoria-Gasteiz, Spain.&lt;/_author_adr&gt;&lt;_date_display&gt;2020 Dec&lt;/_date_display&gt;&lt;_date&gt;2020-12-01&lt;/_date&gt;&lt;_doi&gt;10.1080/14712598.2020.1798925&lt;/_doi&gt;&lt;_isbn&gt;1744-7682 (Electronic); 1471-2598 (Linking)&lt;/_isbn&gt;&lt;_issue&gt;12&lt;/_issue&gt;&lt;_journal&gt;Expert Opin Biol Ther&lt;/_journal&gt;&lt;_keywords&gt;Prp; classification; growth factors; hip; injection; knee; osteoarthritis&lt;/_keywords&gt;&lt;_language&gt;eng&lt;/_language&gt;&lt;_pages&gt;1447-1460&lt;/_pages&gt;&lt;_subject_headings&gt;Expert Testimony; Humans; Injections, Intra-Articular; Knee Joint; Meta-Analysis as Topic; Osteoarthritis, Knee/epidemiology/pathology/*therapy; Platelet-Rich Plasma/*physiology; Treatment Outcome; Viscosupplementation/*classification/*methods&lt;/_subject_headings&gt;&lt;_tertiary_title&gt;Expert opinion on biological therapy&lt;/_tertiary_title&gt;&lt;_type_work&gt;Journal Article; Research Support, Non-U.S. Gov&amp;apos;t; Systematic Review&lt;/_type_work&gt;&lt;_url&gt;http://www.ncbi.nlm.nih.gov/entrez/query.fcgi?cmd=Retrieve&amp;amp;db=pubmed&amp;amp;dopt=Abstract&amp;amp;list_uids=32692595&amp;amp;query_hl=1&lt;/_url&gt;&lt;_volume&gt;20&lt;/_volume&gt;&lt;_created&gt;65088699&lt;/_created&gt;&lt;_modified&gt;65088700&lt;/_modified&gt;&lt;_db_updated&gt;PubMed&lt;/_db_updated&gt;&lt;_impact_factor&gt;   4.388&lt;/_impact_factor&gt;&lt;/Details&gt;&lt;Extra&gt;&lt;DBUID&gt;{F96A950B-833F-4880-A151-76DA2D6A2879}&lt;/DBUID&gt;&lt;/Extra&gt;&lt;/Item&gt;&lt;/References&gt;&lt;/Group&gt;&lt;/Citation&gt;_x000a_"/>
    <w:docVar w:name="NE.Ref{FF92ACEC-AC0E-4155-8F7D-FB812278BAA6}" w:val=" ADDIN NE.Ref.{FF92ACEC-AC0E-4155-8F7D-FB812278BAA6}&lt;Citation&gt;&lt;Group&gt;&lt;References&gt;&lt;Item&gt;&lt;ID&gt;731&lt;/ID&gt;&lt;UID&gt;{C39F3271-2B0C-4D00-ADEF-878078FE6A41}&lt;/UID&gt;&lt;Title&gt;Combination of platelet-rich plasma and platelet gel in treatment of resistance  androgenic alopecia: A case series study&lt;/Title&gt;&lt;Template&gt;Journal Article&lt;/Template&gt;&lt;Star&gt;0&lt;/Star&gt;&lt;Tag&gt;0&lt;/Tag&gt;&lt;Author&gt;Lotfi, E; Aramianpour, N; Salehi, B&lt;/Author&gt;&lt;Year&gt;2022&lt;/Year&gt;&lt;Details&gt;&lt;_accession_num&gt;35380746&lt;/_accession_num&gt;&lt;_author_adr&gt;Yousef Abad Skin and Hair Center, Tehran, Iran.; Kerman University of Medical Sciences, Kerman, Iran.; Yousef Abad Skin and Hair Center, Tehran, Iran.&lt;/_author_adr&gt;&lt;_date_display&gt;2022 Oct&lt;/_date_display&gt;&lt;_date&gt;2022-10-01&lt;/_date&gt;&lt;_doi&gt;10.1111/jocd.14963&lt;/_doi&gt;&lt;_isbn&gt;1473-2165 (Electronic); 1473-2130 (Linking)&lt;/_isbn&gt;&lt;_issue&gt;10&lt;/_issue&gt;&lt;_journal&gt;J Cosmet Dermatol&lt;/_journal&gt;&lt;_keywords&gt;androgenic alopecia; platelet gel; platelet-rich plasma; treatment&lt;/_keywords&gt;&lt;_language&gt;eng&lt;/_language&gt;&lt;_ori_publication&gt;(c) 2022 Wiley Periodicals LLC.&lt;/_ori_publication&gt;&lt;_pages&gt;4307-4312&lt;/_pages&gt;&lt;_subject_headings&gt;Humans; *Alopecia/therapy; *Blood Platelets; Hair; *Platelet-Rich Plasma; Scalp; Treatment Outcome&lt;/_subject_headings&gt;&lt;_tertiary_title&gt;Journal of cosmetic dermatology&lt;/_tertiary_title&gt;&lt;_type_work&gt;Journal Article&lt;/_type_work&gt;&lt;_url&gt;http://www.ncbi.nlm.nih.gov/entrez/query.fcgi?cmd=Retrieve&amp;amp;db=pubmed&amp;amp;dopt=Abstract&amp;amp;list_uids=35380746&amp;amp;query_hl=1&lt;/_url&gt;&lt;_volume&gt;21&lt;/_volume&gt;&lt;_created&gt;65097140&lt;/_created&gt;&lt;_modified&gt;65097140&lt;/_modified&gt;&lt;_db_updated&gt;PubMed&lt;/_db_updated&gt;&lt;_impact_factor&gt;   2.696&lt;/_impact_factor&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172A27"/>
    <w:rsid w:val="029F53A6"/>
    <w:rsid w:val="02C62933"/>
    <w:rsid w:val="04754326"/>
    <w:rsid w:val="04B13720"/>
    <w:rsid w:val="06263839"/>
    <w:rsid w:val="0BF7590B"/>
    <w:rsid w:val="0CBB102F"/>
    <w:rsid w:val="0E3A501D"/>
    <w:rsid w:val="142962E1"/>
    <w:rsid w:val="145B39F7"/>
    <w:rsid w:val="17385D88"/>
    <w:rsid w:val="17FD4B9B"/>
    <w:rsid w:val="18635726"/>
    <w:rsid w:val="1A246465"/>
    <w:rsid w:val="229B4600"/>
    <w:rsid w:val="24235C16"/>
    <w:rsid w:val="2B284BCC"/>
    <w:rsid w:val="31622A17"/>
    <w:rsid w:val="31755A2D"/>
    <w:rsid w:val="31CF4AB1"/>
    <w:rsid w:val="328A6C2A"/>
    <w:rsid w:val="3EAE5A4E"/>
    <w:rsid w:val="429A07C3"/>
    <w:rsid w:val="4542602E"/>
    <w:rsid w:val="45CA7611"/>
    <w:rsid w:val="47CF0F0F"/>
    <w:rsid w:val="491A19FC"/>
    <w:rsid w:val="4A174DEF"/>
    <w:rsid w:val="4A524DC9"/>
    <w:rsid w:val="4C1B560C"/>
    <w:rsid w:val="4E90029C"/>
    <w:rsid w:val="52283DC9"/>
    <w:rsid w:val="53424C8B"/>
    <w:rsid w:val="546039AD"/>
    <w:rsid w:val="571B7CCD"/>
    <w:rsid w:val="5D081B2B"/>
    <w:rsid w:val="5DDE3802"/>
    <w:rsid w:val="5DE82D94"/>
    <w:rsid w:val="5F763A4C"/>
    <w:rsid w:val="62965320"/>
    <w:rsid w:val="66041962"/>
    <w:rsid w:val="68397B49"/>
    <w:rsid w:val="70C64CF5"/>
    <w:rsid w:val="711F4406"/>
    <w:rsid w:val="756E0BA9"/>
    <w:rsid w:val="78657512"/>
    <w:rsid w:val="79756C24"/>
    <w:rsid w:val="79B02245"/>
    <w:rsid w:val="79C8563A"/>
    <w:rsid w:val="7A6B2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3511</Words>
  <Characters>4710</Characters>
  <Lines>0</Lines>
  <Paragraphs>0</Paragraphs>
  <TotalTime>82</TotalTime>
  <ScaleCrop>false</ScaleCrop>
  <LinksUpToDate>false</LinksUpToDate>
  <CharactersWithSpaces>4873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2023-09-21T08:43:00Z</dcterms:created>
  <dc:creator>进进</dc:creator>
  <cp:lastModifiedBy>进进</cp:lastModifiedBy>
  <dcterms:modified xsi:type="dcterms:W3CDTF">2023-10-09T00:25:25Z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EF46FABDE2874A569AA9A496D7DD5457_11</vt:lpwstr>
  </property>
</Properties>
</file>