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黑体" w:hAnsi="黑体" w:eastAsia="黑体" w:cs="黑体"/>
          <w:b/>
          <w:bCs w:val="0"/>
          <w:sz w:val="36"/>
          <w:szCs w:val="36"/>
          <w:lang w:val="en-US" w:eastAsia="zh-CN"/>
        </w:rPr>
      </w:pPr>
      <w:r>
        <w:rPr>
          <w:rFonts w:hint="eastAsia" w:ascii="黑体" w:hAnsi="黑体" w:eastAsia="黑体" w:cs="黑体"/>
          <w:b/>
          <w:bCs w:val="0"/>
          <w:sz w:val="36"/>
          <w:szCs w:val="36"/>
          <w:lang w:val="en-US" w:eastAsia="zh-CN"/>
        </w:rPr>
        <w:t>阵发性睡眠性血红蛋白尿症的治疗方法文献综述</w:t>
      </w:r>
    </w:p>
    <w:p>
      <w:pPr>
        <w:bidi w:val="0"/>
        <w:ind w:firstLine="2640" w:firstLineChars="1100"/>
        <w:jc w:val="both"/>
        <w:rPr>
          <w:rFonts w:hint="eastAsia" w:ascii="黑体" w:hAnsi="黑体" w:eastAsia="黑体" w:cs="黑体"/>
          <w:b w:val="0"/>
          <w:bCs w:val="0"/>
          <w:sz w:val="24"/>
          <w:szCs w:val="24"/>
          <w:vertAlign w:val="superscript"/>
          <w:lang w:val="en-US" w:eastAsia="zh-CN"/>
        </w:rPr>
      </w:pPr>
      <w:r>
        <w:rPr>
          <w:rFonts w:hint="eastAsia" w:ascii="黑体" w:hAnsi="黑体" w:eastAsia="黑体" w:cs="黑体"/>
          <w:b w:val="0"/>
          <w:bCs w:val="0"/>
          <w:sz w:val="24"/>
          <w:szCs w:val="24"/>
          <w:lang w:val="en-US" w:eastAsia="zh-CN"/>
        </w:rPr>
        <w:t>通讯作者 刘子涓</w:t>
      </w:r>
      <w:r>
        <w:rPr>
          <w:rStyle w:val="12"/>
          <w:rFonts w:hint="eastAsia" w:ascii="黑体" w:hAnsi="黑体" w:eastAsia="黑体" w:cs="黑体"/>
          <w:b w:val="0"/>
          <w:bCs w:val="0"/>
          <w:sz w:val="24"/>
          <w:szCs w:val="24"/>
          <w:lang w:val="en-US" w:eastAsia="zh-CN"/>
        </w:rPr>
        <w:footnoteReference w:id="0"/>
      </w:r>
      <w:r>
        <w:rPr>
          <w:rFonts w:hint="eastAsia" w:ascii="黑体" w:hAnsi="黑体" w:eastAsia="黑体" w:cs="黑体"/>
          <w:b w:val="0"/>
          <w:bCs w:val="0"/>
          <w:sz w:val="24"/>
          <w:szCs w:val="24"/>
          <w:vertAlign w:val="superscript"/>
          <w:lang w:val="en-US" w:eastAsia="zh-CN"/>
        </w:rPr>
        <w:t>，2</w:t>
      </w:r>
      <w:r>
        <w:rPr>
          <w:rFonts w:hint="eastAsia" w:ascii="黑体" w:hAnsi="黑体" w:eastAsia="黑体" w:cs="黑体"/>
          <w:b w:val="0"/>
          <w:bCs w:val="0"/>
          <w:sz w:val="24"/>
          <w:szCs w:val="24"/>
          <w:lang w:val="en-US" w:eastAsia="zh-CN"/>
        </w:rPr>
        <w:t xml:space="preserve"> 李玲</w:t>
      </w:r>
      <w:r>
        <w:rPr>
          <w:rFonts w:hint="eastAsia" w:ascii="黑体" w:hAnsi="黑体" w:eastAsia="黑体" w:cs="黑体"/>
          <w:b w:val="0"/>
          <w:bCs w:val="0"/>
          <w:sz w:val="24"/>
          <w:szCs w:val="24"/>
          <w:vertAlign w:val="superscript"/>
          <w:lang w:val="en-US" w:eastAsia="zh-CN"/>
        </w:rPr>
        <w:t>1，3</w:t>
      </w:r>
      <w:r>
        <w:rPr>
          <w:rFonts w:hint="eastAsia" w:ascii="黑体" w:hAnsi="黑体" w:eastAsia="黑体" w:cs="黑体"/>
          <w:b w:val="0"/>
          <w:bCs w:val="0"/>
          <w:sz w:val="24"/>
          <w:szCs w:val="24"/>
          <w:vertAlign w:val="superscript"/>
          <w:lang w:val="en-US" w:eastAsia="zh-CN"/>
        </w:rPr>
        <w:t>△</w:t>
      </w:r>
    </w:p>
    <w:p>
      <w:pPr>
        <w:bidi w:val="0"/>
        <w:ind w:firstLine="2640" w:firstLineChars="1100"/>
        <w:jc w:val="both"/>
        <w:rPr>
          <w:rFonts w:hint="eastAsia" w:ascii="黑体" w:hAnsi="黑体" w:eastAsia="黑体" w:cs="黑体"/>
          <w:b w:val="0"/>
          <w:bCs w:val="0"/>
          <w:sz w:val="24"/>
          <w:szCs w:val="24"/>
          <w:vertAlign w:val="superscript"/>
          <w:lang w:val="en-US" w:eastAsia="zh-CN"/>
        </w:rPr>
      </w:pPr>
    </w:p>
    <w:p>
      <w:pPr>
        <w:pStyle w:val="8"/>
        <w:snapToGrid w:val="0"/>
        <w:rPr>
          <w:rFonts w:hint="eastAsia" w:ascii="Times New Roman" w:hAnsi="Times New Roman" w:eastAsia="宋体"/>
          <w:sz w:val="18"/>
          <w:szCs w:val="18"/>
          <w:lang w:eastAsia="zh-CN"/>
        </w:rPr>
      </w:pPr>
      <w:r>
        <w:rPr>
          <w:rFonts w:hint="eastAsia" w:ascii="宋体" w:hAnsi="宋体" w:eastAsia="宋体"/>
          <w:sz w:val="18"/>
          <w:szCs w:val="18"/>
        </w:rPr>
        <w:t>（1</w:t>
      </w:r>
      <w:r>
        <w:rPr>
          <w:rFonts w:ascii="宋体" w:hAnsi="宋体" w:eastAsia="宋体"/>
          <w:sz w:val="18"/>
          <w:szCs w:val="18"/>
        </w:rPr>
        <w:t>.</w:t>
      </w:r>
      <w:r>
        <w:rPr>
          <w:rFonts w:hint="eastAsia" w:ascii="宋体" w:hAnsi="宋体" w:eastAsia="宋体"/>
          <w:sz w:val="18"/>
          <w:szCs w:val="18"/>
          <w:lang w:val="en-US" w:eastAsia="zh-CN"/>
        </w:rPr>
        <w:t xml:space="preserve">安徽医科大学公共卫生学院，2. </w:t>
      </w:r>
      <w:r>
        <w:rPr>
          <w:rFonts w:hint="eastAsia"/>
          <w:lang w:val="en-US" w:eastAsia="zh-CN"/>
        </w:rPr>
        <w:t>郑州大学第一附属医院</w:t>
      </w:r>
      <w:r>
        <w:rPr>
          <w:rFonts w:hint="eastAsia" w:ascii="宋体" w:hAnsi="宋体" w:eastAsia="宋体"/>
          <w:sz w:val="18"/>
          <w:szCs w:val="18"/>
          <w:lang w:val="en-US" w:eastAsia="zh-CN"/>
        </w:rPr>
        <w:t xml:space="preserve">   3.</w:t>
      </w:r>
      <w:r>
        <w:rPr>
          <w:rFonts w:hint="eastAsia" w:ascii="宋体" w:hAnsi="宋体" w:eastAsia="宋体"/>
          <w:sz w:val="18"/>
          <w:szCs w:val="18"/>
        </w:rPr>
        <w:t>成都市第三人民医院 输血科，四川 成都</w:t>
      </w:r>
      <w:r>
        <w:rPr>
          <w:rFonts w:ascii="宋体" w:hAnsi="宋体" w:eastAsia="宋体"/>
          <w:sz w:val="18"/>
          <w:szCs w:val="18"/>
        </w:rPr>
        <w:t xml:space="preserve"> </w:t>
      </w:r>
      <w:r>
        <w:rPr>
          <w:rFonts w:ascii="Times New Roman" w:hAnsi="Times New Roman" w:eastAsia="宋体"/>
          <w:sz w:val="18"/>
          <w:szCs w:val="18"/>
        </w:rPr>
        <w:t>610031</w:t>
      </w:r>
      <w:r>
        <w:rPr>
          <w:rFonts w:hint="eastAsia" w:ascii="Times New Roman" w:hAnsi="Times New Roman" w:eastAsia="宋体"/>
          <w:sz w:val="18"/>
          <w:szCs w:val="18"/>
          <w:lang w:eastAsia="zh-CN"/>
        </w:rPr>
        <w:t>）</w:t>
      </w:r>
    </w:p>
    <w:p>
      <w:pPr>
        <w:pStyle w:val="8"/>
        <w:snapToGrid w:val="0"/>
        <w:rPr>
          <w:rFonts w:hint="eastAsia" w:ascii="Times New Roman" w:hAnsi="Times New Roman" w:eastAsia="宋体"/>
          <w:sz w:val="18"/>
          <w:szCs w:val="18"/>
          <w:lang w:val="en-US" w:eastAsia="zh-CN"/>
        </w:rPr>
      </w:pPr>
      <w:bookmarkStart w:id="0" w:name="_GoBack"/>
      <w:bookmarkEnd w:id="0"/>
    </w:p>
    <w:p>
      <w:pPr>
        <w:bidi w:val="0"/>
        <w:rPr>
          <w:rFonts w:hint="eastAsia" w:ascii="黑体" w:hAnsi="黑体" w:eastAsia="黑体" w:cs="黑体"/>
          <w:sz w:val="21"/>
          <w:szCs w:val="21"/>
          <w:lang w:val="en-US" w:eastAsia="zh-CN"/>
        </w:rPr>
      </w:pPr>
      <w:r>
        <w:rPr>
          <w:rFonts w:hint="eastAsia" w:ascii="黑体" w:hAnsi="黑体" w:eastAsia="黑体" w:cs="黑体"/>
          <w:b/>
          <w:bCs/>
          <w:sz w:val="28"/>
          <w:szCs w:val="28"/>
        </w:rPr>
        <w:t>摘要</w:t>
      </w:r>
      <w:r>
        <w:rPr>
          <w:rFonts w:hint="eastAsia" w:ascii="黑体" w:hAnsi="黑体" w:eastAsia="黑体" w:cs="黑体"/>
          <w:sz w:val="28"/>
          <w:szCs w:val="28"/>
        </w:rPr>
        <w:t>：</w:t>
      </w:r>
      <w:r>
        <w:rPr>
          <w:rFonts w:hint="eastAsia"/>
          <w:sz w:val="28"/>
          <w:szCs w:val="28"/>
          <w:lang w:val="en-US" w:eastAsia="zh-CN"/>
        </w:rPr>
        <w:t xml:space="preserve"> </w:t>
      </w:r>
      <w:r>
        <w:rPr>
          <w:rFonts w:hint="eastAsia"/>
          <w:sz w:val="32"/>
          <w:szCs w:val="32"/>
          <w:lang w:val="en-US" w:eastAsia="zh-CN"/>
        </w:rPr>
        <w:t xml:space="preserve"> </w:t>
      </w:r>
      <w:r>
        <w:rPr>
          <w:rFonts w:hint="eastAsia" w:ascii="黑体" w:hAnsi="黑体" w:eastAsia="黑体" w:cs="黑体"/>
          <w:sz w:val="21"/>
          <w:szCs w:val="21"/>
        </w:rPr>
        <w:t>阵发性睡眠性血红蛋白尿症（PNH）是一种罕见的获得性克隆性血液病</w:t>
      </w:r>
      <w:r>
        <w:rPr>
          <w:rFonts w:hint="eastAsia" w:ascii="黑体" w:hAnsi="黑体" w:eastAsia="黑体" w:cs="黑体"/>
          <w:sz w:val="21"/>
          <w:szCs w:val="21"/>
          <w:lang w:val="en-US" w:eastAsia="zh-CN"/>
        </w:rPr>
        <w:t>,</w:t>
      </w:r>
      <w:r>
        <w:rPr>
          <w:rFonts w:hint="eastAsia" w:ascii="黑体" w:hAnsi="黑体" w:eastAsia="黑体" w:cs="黑体"/>
          <w:sz w:val="21"/>
          <w:szCs w:val="21"/>
        </w:rPr>
        <w:t>是</w:t>
      </w:r>
      <w:r>
        <w:rPr>
          <w:rFonts w:hint="eastAsia" w:ascii="黑体" w:hAnsi="黑体" w:eastAsia="黑体" w:cs="黑体"/>
          <w:sz w:val="21"/>
          <w:szCs w:val="21"/>
          <w:lang w:val="en-US" w:eastAsia="zh-CN"/>
        </w:rPr>
        <w:t>由于</w:t>
      </w:r>
      <w:r>
        <w:rPr>
          <w:rFonts w:hint="eastAsia" w:ascii="黑体" w:hAnsi="黑体" w:eastAsia="黑体" w:cs="黑体"/>
          <w:sz w:val="21"/>
          <w:szCs w:val="21"/>
        </w:rPr>
        <w:t>GPI锚定合成的特定步骤缺陷导致的糖基磷脂酰肌醇（GPI）锚定表面蛋白的缺失引起的</w:t>
      </w:r>
      <w:r>
        <w:rPr>
          <w:rFonts w:hint="eastAsia" w:ascii="黑体" w:hAnsi="黑体" w:eastAsia="黑体" w:cs="黑体"/>
          <w:sz w:val="21"/>
          <w:szCs w:val="21"/>
          <w:lang w:val="en-US" w:eastAsia="zh-CN"/>
        </w:rPr>
        <w:t>.</w:t>
      </w:r>
      <w:r>
        <w:rPr>
          <w:rFonts w:hint="eastAsia" w:ascii="黑体" w:hAnsi="黑体" w:eastAsia="黑体" w:cs="黑体"/>
          <w:sz w:val="21"/>
          <w:szCs w:val="21"/>
        </w:rPr>
        <w:t>PNH可表现为溶血性贫血</w:t>
      </w:r>
      <w:r>
        <w:rPr>
          <w:rFonts w:hint="eastAsia" w:ascii="黑体" w:hAnsi="黑体" w:eastAsia="黑体" w:cs="黑体"/>
          <w:sz w:val="21"/>
          <w:szCs w:val="21"/>
          <w:lang w:val="en-US" w:eastAsia="zh-CN"/>
        </w:rPr>
        <w:t>,</w:t>
      </w:r>
      <w:r>
        <w:rPr>
          <w:rFonts w:hint="eastAsia" w:ascii="黑体" w:hAnsi="黑体" w:eastAsia="黑体" w:cs="黑体"/>
          <w:sz w:val="21"/>
          <w:szCs w:val="21"/>
        </w:rPr>
        <w:t>骨髓衰竭</w:t>
      </w:r>
      <w:r>
        <w:rPr>
          <w:rFonts w:hint="eastAsia" w:ascii="黑体" w:hAnsi="黑体" w:eastAsia="黑体" w:cs="黑体"/>
          <w:sz w:val="21"/>
          <w:szCs w:val="21"/>
          <w:lang w:val="en-US" w:eastAsia="zh-CN"/>
        </w:rPr>
        <w:t>,</w:t>
      </w:r>
      <w:r>
        <w:rPr>
          <w:rFonts w:hint="eastAsia" w:ascii="黑体" w:hAnsi="黑体" w:eastAsia="黑体" w:cs="黑体"/>
          <w:sz w:val="21"/>
          <w:szCs w:val="21"/>
        </w:rPr>
        <w:t>血栓形成倾向或上述任何组合</w:t>
      </w:r>
      <w:r>
        <w:rPr>
          <w:rFonts w:hint="eastAsia" w:ascii="黑体" w:hAnsi="黑体" w:eastAsia="黑体" w:cs="黑体"/>
          <w:sz w:val="21"/>
          <w:szCs w:val="21"/>
          <w:lang w:val="en-US" w:eastAsia="zh-CN"/>
        </w:rPr>
        <w:t>.</w:t>
      </w:r>
      <w:r>
        <w:rPr>
          <w:rFonts w:hint="eastAsia" w:ascii="黑体" w:hAnsi="黑体" w:eastAsia="黑体" w:cs="黑体"/>
          <w:sz w:val="21"/>
          <w:szCs w:val="21"/>
        </w:rPr>
        <w:t>随着对PNH发病机制的不断研究</w:t>
      </w:r>
      <w:r>
        <w:rPr>
          <w:rFonts w:hint="eastAsia" w:ascii="黑体" w:hAnsi="黑体" w:eastAsia="黑体" w:cs="黑体"/>
          <w:sz w:val="21"/>
          <w:szCs w:val="21"/>
          <w:lang w:val="en-US" w:eastAsia="zh-CN"/>
        </w:rPr>
        <w:t>,</w:t>
      </w:r>
      <w:r>
        <w:rPr>
          <w:rFonts w:hint="eastAsia" w:ascii="黑体" w:hAnsi="黑体" w:eastAsia="黑体" w:cs="黑体"/>
          <w:sz w:val="21"/>
          <w:szCs w:val="21"/>
        </w:rPr>
        <w:t>也为PNH的治疗提供了新的策略</w:t>
      </w:r>
      <w:r>
        <w:rPr>
          <w:rFonts w:hint="eastAsia" w:ascii="黑体" w:hAnsi="黑体" w:eastAsia="黑体" w:cs="黑体"/>
          <w:sz w:val="21"/>
          <w:szCs w:val="21"/>
          <w:lang w:val="en-US" w:eastAsia="zh-CN"/>
        </w:rPr>
        <w:t>,</w:t>
      </w:r>
      <w:r>
        <w:rPr>
          <w:rFonts w:hint="eastAsia" w:ascii="黑体" w:hAnsi="黑体" w:eastAsia="黑体" w:cs="黑体"/>
          <w:sz w:val="21"/>
          <w:szCs w:val="21"/>
        </w:rPr>
        <w:t>PNH寻找理想的治疗模式是医学工作者的共同目标</w:t>
      </w:r>
      <w:r>
        <w:rPr>
          <w:rFonts w:hint="eastAsia" w:ascii="黑体" w:hAnsi="黑体" w:eastAsia="黑体" w:cs="黑体"/>
          <w:sz w:val="21"/>
          <w:szCs w:val="21"/>
          <w:lang w:val="en-US" w:eastAsia="zh-CN"/>
        </w:rPr>
        <w:t>.</w:t>
      </w:r>
      <w:r>
        <w:rPr>
          <w:rFonts w:hint="eastAsia" w:ascii="黑体" w:hAnsi="黑体" w:eastAsia="黑体" w:cs="黑体"/>
          <w:sz w:val="21"/>
          <w:szCs w:val="21"/>
        </w:rPr>
        <w:t>本文将就PNH的治疗模式进展做一简要介绍</w:t>
      </w:r>
      <w:r>
        <w:rPr>
          <w:rFonts w:hint="eastAsia" w:ascii="黑体" w:hAnsi="黑体" w:eastAsia="黑体" w:cs="黑体"/>
          <w:sz w:val="21"/>
          <w:szCs w:val="21"/>
          <w:lang w:val="en-US" w:eastAsia="zh-CN"/>
        </w:rPr>
        <w:t>.</w:t>
      </w:r>
    </w:p>
    <w:p>
      <w:pPr>
        <w:bidi w:val="0"/>
        <w:rPr>
          <w:rFonts w:hint="default" w:ascii="Calibri" w:hAnsi="Calibri" w:eastAsia="黑体" w:cs="黑体"/>
          <w:sz w:val="24"/>
          <w:szCs w:val="24"/>
          <w:lang w:val="en-US" w:eastAsia="zh-CN"/>
        </w:rPr>
      </w:pPr>
      <w:r>
        <w:rPr>
          <w:rFonts w:hint="default" w:eastAsia="黑体" w:cs="黑体" w:asciiTheme="majorAscii" w:hAnsiTheme="majorAscii"/>
          <w:b/>
          <w:bCs/>
          <w:sz w:val="28"/>
          <w:szCs w:val="28"/>
          <w:lang w:val="en-US" w:eastAsia="zh-CN"/>
        </w:rPr>
        <w:t>Abstract</w:t>
      </w:r>
      <w:r>
        <w:rPr>
          <w:rFonts w:hint="default" w:eastAsia="黑体" w:cs="黑体" w:asciiTheme="majorAscii" w:hAnsiTheme="majorAscii"/>
          <w:sz w:val="21"/>
          <w:szCs w:val="21"/>
          <w:lang w:val="en-US" w:eastAsia="zh-CN"/>
        </w:rPr>
        <w:t xml:space="preserve">: </w:t>
      </w:r>
      <w:r>
        <w:rPr>
          <w:rFonts w:hint="default" w:ascii="Cambria" w:hAnsi="Cambria" w:eastAsia="黑体" w:cs="黑体"/>
          <w:sz w:val="21"/>
          <w:szCs w:val="21"/>
          <w:lang w:val="en-US" w:eastAsia="zh-CN"/>
        </w:rPr>
        <w:t>Paroxysmal nocturnal hemoglobinuria (PNH) is a rare acquired clonal blood disorder caused by the deletion of glycosylphosphatidylinositol (GPI)-anchored surface proteins caused by defects in specific steps of GPI-anchored synthesis, resulting in various blood cells being destroyed by complement attack. Episodic hemolysis and chronic anemia are the most common clinical manifestations. With the continuous research on the pathogenesis of PNH, it also provides new strategies for the treatment of PNH, and the search for the ideal treatment mode of PNH is the common goal of medical practitioners. This article will briefly introduce the progress of the treatment mode of PNH.</w:t>
      </w:r>
    </w:p>
    <w:p>
      <w:pPr>
        <w:bidi w:val="0"/>
        <w:rPr>
          <w:rFonts w:hint="default" w:eastAsia="黑体" w:cs="黑体" w:asciiTheme="minorAscii" w:hAnsiTheme="minorAscii"/>
          <w:sz w:val="24"/>
          <w:szCs w:val="24"/>
          <w:lang w:val="en-US" w:eastAsia="zh-CN"/>
        </w:rPr>
      </w:pPr>
    </w:p>
    <w:p>
      <w:pPr>
        <w:bidi w:val="0"/>
        <w:rPr>
          <w:rFonts w:hint="default" w:eastAsia="黑体" w:cs="黑体" w:asciiTheme="minorAscii" w:hAnsiTheme="minorAscii"/>
          <w:sz w:val="24"/>
          <w:szCs w:val="24"/>
          <w:lang w:val="en-US" w:eastAsia="zh-CN"/>
        </w:rPr>
      </w:pPr>
    </w:p>
    <w:p>
      <w:pPr>
        <w:bidi w:val="0"/>
        <w:rPr>
          <w:rFonts w:hint="default" w:eastAsia="黑体" w:cs="黑体" w:asciiTheme="minorAscii" w:hAnsiTheme="minorAscii"/>
          <w:sz w:val="24"/>
          <w:szCs w:val="24"/>
          <w:lang w:val="en-US" w:eastAsia="zh-CN"/>
        </w:rPr>
      </w:pPr>
    </w:p>
    <w:p>
      <w:pPr>
        <w:bidi w:val="0"/>
        <w:rPr>
          <w:rFonts w:hint="default" w:eastAsia="黑体" w:cs="黑体" w:asciiTheme="minorAscii" w:hAnsiTheme="minorAscii"/>
          <w:sz w:val="24"/>
          <w:szCs w:val="24"/>
          <w:lang w:val="en-US" w:eastAsia="zh-CN"/>
        </w:rPr>
      </w:pPr>
    </w:p>
    <w:p>
      <w:pPr>
        <w:bidi w:val="0"/>
        <w:ind w:left="280" w:hanging="281" w:hangingChars="100"/>
        <w:rPr>
          <w:rFonts w:hint="eastAsia" w:ascii="黑体" w:hAnsi="黑体" w:eastAsia="黑体" w:cs="黑体"/>
          <w:sz w:val="21"/>
          <w:szCs w:val="21"/>
        </w:rPr>
      </w:pPr>
      <w:r>
        <w:rPr>
          <w:rFonts w:hint="eastAsia" w:ascii="黑体" w:hAnsi="黑体" w:eastAsia="黑体" w:cs="黑体"/>
          <w:b/>
          <w:bCs/>
          <w:sz w:val="28"/>
          <w:szCs w:val="28"/>
          <w:lang w:val="en-US" w:eastAsia="zh-CN"/>
        </w:rPr>
        <w:t>关键词</w:t>
      </w:r>
      <w:r>
        <w:rPr>
          <w:rFonts w:hint="eastAsia" w:ascii="黑体" w:hAnsi="黑体" w:eastAsia="黑体" w:cs="黑体"/>
          <w:sz w:val="28"/>
          <w:szCs w:val="28"/>
          <w:lang w:val="en-US" w:eastAsia="zh-CN"/>
        </w:rPr>
        <w:t>：</w:t>
      </w:r>
      <w:r>
        <w:rPr>
          <w:rFonts w:hint="eastAsia" w:asciiTheme="minorEastAsia" w:hAnsiTheme="minorEastAsia" w:cstheme="minorEastAsia"/>
          <w:sz w:val="28"/>
          <w:szCs w:val="28"/>
          <w:lang w:val="en-US" w:eastAsia="zh-CN"/>
        </w:rPr>
        <w:t xml:space="preserve"> </w:t>
      </w:r>
      <w:r>
        <w:rPr>
          <w:rFonts w:hint="eastAsia" w:ascii="黑体" w:hAnsi="黑体" w:eastAsia="黑体" w:cs="黑体"/>
          <w:sz w:val="21"/>
          <w:szCs w:val="21"/>
          <w:lang w:val="en-US" w:eastAsia="zh-CN"/>
        </w:rPr>
        <w:t xml:space="preserve"> 阵发性睡眠性血红蛋白尿   </w:t>
      </w:r>
      <w:r>
        <w:rPr>
          <w:rFonts w:hint="eastAsia" w:ascii="黑体" w:hAnsi="黑体" w:eastAsia="黑体" w:cs="黑体"/>
          <w:sz w:val="21"/>
          <w:szCs w:val="21"/>
        </w:rPr>
        <w:t>靶向治疗</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造血干细胞移植</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补体抑制剂</w:t>
      </w:r>
    </w:p>
    <w:p>
      <w:pPr>
        <w:bidi w:val="0"/>
        <w:ind w:left="280" w:hanging="281" w:hangingChars="100"/>
        <w:rPr>
          <w:rFonts w:hint="default" w:eastAsia="黑体" w:cs="黑体" w:asciiTheme="minorAscii" w:hAnsiTheme="minorAscii"/>
          <w:sz w:val="24"/>
          <w:szCs w:val="24"/>
        </w:rPr>
      </w:pPr>
      <w:r>
        <w:rPr>
          <w:rFonts w:hint="default" w:eastAsia="黑体" w:cs="黑体" w:asciiTheme="majorAscii" w:hAnsiTheme="majorAscii"/>
          <w:b/>
          <w:bCs/>
          <w:sz w:val="28"/>
          <w:szCs w:val="28"/>
        </w:rPr>
        <w:t>Keywords</w:t>
      </w:r>
      <w:r>
        <w:rPr>
          <w:rFonts w:hint="eastAsia" w:ascii="黑体" w:hAnsi="黑体" w:eastAsia="黑体" w:cs="黑体"/>
          <w:sz w:val="21"/>
          <w:szCs w:val="21"/>
        </w:rPr>
        <w:t xml:space="preserve">: </w:t>
      </w:r>
      <w:r>
        <w:rPr>
          <w:rFonts w:hint="default" w:eastAsia="黑体" w:cs="黑体" w:asciiTheme="minorAscii" w:hAnsiTheme="minorAscii"/>
          <w:b w:val="0"/>
          <w:bCs w:val="0"/>
          <w:sz w:val="24"/>
          <w:szCs w:val="24"/>
        </w:rPr>
        <w:t>paroxysmal nocturnal hemoglobinuria;</w:t>
      </w:r>
      <w:r>
        <w:rPr>
          <w:rFonts w:hint="eastAsia" w:eastAsia="黑体" w:cs="黑体" w:asciiTheme="minorAscii" w:hAnsiTheme="minorAscii"/>
          <w:b w:val="0"/>
          <w:bCs w:val="0"/>
          <w:sz w:val="24"/>
          <w:szCs w:val="24"/>
          <w:lang w:val="en-US" w:eastAsia="zh-CN"/>
        </w:rPr>
        <w:t xml:space="preserve"> </w:t>
      </w:r>
      <w:r>
        <w:rPr>
          <w:rFonts w:hint="default" w:eastAsia="宋体" w:cs="宋体" w:asciiTheme="minorAscii" w:hAnsiTheme="minorAscii"/>
          <w:sz w:val="24"/>
          <w:szCs w:val="24"/>
        </w:rPr>
        <w:t>targeted therapy</w:t>
      </w:r>
      <w:r>
        <w:rPr>
          <w:rFonts w:hint="default" w:eastAsia="黑体" w:cs="黑体" w:asciiTheme="minorAscii" w:hAnsiTheme="minorAscii"/>
          <w:sz w:val="24"/>
          <w:szCs w:val="24"/>
        </w:rPr>
        <w:t>; hematopoietic stem cell transplantation;</w:t>
      </w:r>
      <w:r>
        <w:rPr>
          <w:rFonts w:hint="eastAsia" w:eastAsia="黑体" w:cs="黑体" w:asciiTheme="minorAscii" w:hAnsiTheme="minorAscii"/>
          <w:sz w:val="24"/>
          <w:szCs w:val="24"/>
          <w:lang w:val="en-US" w:eastAsia="zh-CN"/>
        </w:rPr>
        <w:t xml:space="preserve"> </w:t>
      </w:r>
      <w:r>
        <w:rPr>
          <w:rFonts w:hint="default" w:eastAsia="黑体" w:cs="黑体" w:asciiTheme="minorAscii" w:hAnsiTheme="minorAscii"/>
          <w:sz w:val="24"/>
          <w:szCs w:val="24"/>
        </w:rPr>
        <w:t xml:space="preserve"> complement inhibitor</w:t>
      </w:r>
    </w:p>
    <w:p>
      <w:pPr>
        <w:pStyle w:val="3"/>
        <w:bidi w:val="0"/>
        <w:rPr>
          <w:rFonts w:hint="eastAsia" w:ascii="黑体" w:hAnsi="黑体" w:eastAsia="黑体" w:cs="黑体"/>
          <w:sz w:val="28"/>
          <w:szCs w:val="28"/>
        </w:rPr>
      </w:pPr>
      <w:r>
        <w:rPr>
          <w:rFonts w:hint="eastAsia" w:ascii="黑体" w:hAnsi="黑体" w:eastAsia="黑体" w:cs="黑体"/>
          <w:sz w:val="28"/>
          <w:szCs w:val="28"/>
        </w:rPr>
        <w:t>1 对PNH的早期认识和诊断方法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最早对PNH的描述之一是Paul Strubing 医生，他在1882年描述了一位29岁的男子，他表现为疲劳、腹痛和严重的夜间血红蛋白尿发作</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0"/>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。Paul Strubing推断，当患者的血浆在严重的血红蛋白尿发作后变红时，溶血发生在血管内。后来Marchiafava和Micheli的报告导致了 Marchiafava-Micheli综合征的命名，但直到1925年Enneking才引入了阵发性睡眠性血红蛋白尿这个术语</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，1937年，Thomas Ham报道PNH红细胞与正常酸化血清孵育时发生溶血这一开创性的发现导致了PNH的第一个诊断测试，酸化血清(Ham)测试</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2"/>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PNH中的溶血是补体介导的，并且是PNH细胞获得补体调节蛋白缺乏的直接结果。PNH的溶血发病机制是由于造血干细胞发生X染色体上的磷脂酰肌醇聚糖锚生物合成A类基因（phosphatidylinositol glycan anchor biosynthesis</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class A，PIG-A）突变，引起糖基化磷脂酰肌醇（glycosylphosphatidylinositol，GPI）锚的合成缺陷</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3"/>
      </w:r>
      <w:r>
        <w:rPr>
          <w:rStyle w:val="11"/>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，导致成熟血细胞表面缺乏CD55和CD59等GPI锚连蛋白，在补体攻击情况下发生溶血</w:t>
      </w:r>
      <w:r>
        <w:rPr>
          <w:rStyle w:val="11"/>
          <w:rFonts w:hint="eastAsia" w:asciiTheme="minorEastAsia" w:hAnsiTheme="minorEastAsia" w:cstheme="minorEastAsia"/>
          <w:sz w:val="24"/>
          <w:szCs w:val="24"/>
          <w:lang w:eastAsia="zh-CN"/>
        </w:rPr>
        <w:t>[</w:t>
      </w:r>
      <w:r>
        <w:rPr>
          <w:rStyle w:val="11"/>
          <w:rFonts w:hint="eastAsia" w:asciiTheme="minorEastAsia" w:hAnsiTheme="minorEastAsia" w:cstheme="minorEastAsia"/>
          <w:sz w:val="24"/>
          <w:szCs w:val="24"/>
          <w:lang w:eastAsia="zh-CN"/>
        </w:rPr>
        <w:endnoteReference w:id="4"/>
      </w:r>
      <w:r>
        <w:rPr>
          <w:rStyle w:val="11"/>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eastAsia="zh-CN"/>
        </w:rPr>
        <w:t>。针对于患者血细胞存在白细胞分化抗原 55（cluster of differentiation 55，CD55） 和 CD59 两种补体调节蛋白的缺失，开发出流式细胞术用于诊断，大大提高了以上方法的特异性</w:t>
      </w:r>
      <w:r>
        <w:rPr>
          <w:rStyle w:val="11"/>
          <w:rFonts w:hint="eastAsia" w:asciiTheme="minorEastAsia" w:hAnsiTheme="minorEastAsia" w:cstheme="minorEastAsia"/>
          <w:sz w:val="24"/>
          <w:szCs w:val="24"/>
          <w:lang w:eastAsia="zh-CN"/>
        </w:rPr>
        <w:t>[</w:t>
      </w:r>
      <w:r>
        <w:rPr>
          <w:rStyle w:val="11"/>
          <w:rFonts w:hint="eastAsia" w:asciiTheme="minorEastAsia" w:hAnsiTheme="minorEastAsia" w:cstheme="minorEastAsia"/>
          <w:sz w:val="24"/>
          <w:szCs w:val="24"/>
          <w:lang w:eastAsia="zh-CN"/>
        </w:rPr>
        <w:endnoteReference w:id="5"/>
      </w:r>
      <w:r>
        <w:rPr>
          <w:rStyle w:val="11"/>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阵发性睡眠性血红蛋白尿症 (paroxysmal nocturnal</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hemoglobinuria, PNH）是一种罕见的血液系统疾病，发病率约为每百万人口1~10例</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6"/>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。在没有特效治疗药物之前，PNH患者的生存期仅为10~22年</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7"/>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8"/>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。随着对PNH发病机制不断地深入研究，针对PNH疾病的治疗模式也在发生改变。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eastAsia" w:ascii="黑体" w:hAnsi="黑体" w:eastAsia="黑体" w:cs="黑体"/>
          <w:b/>
          <w:bCs/>
          <w:sz w:val="28"/>
          <w:szCs w:val="28"/>
        </w:rPr>
        <w:t>2 PNH的治疗</w:t>
      </w:r>
      <w:r>
        <w:rPr>
          <w:rFonts w:hint="eastAsia" w:ascii="黑体" w:hAnsi="黑体" w:eastAsia="黑体" w:cs="黑体"/>
          <w:sz w:val="28"/>
          <w:szCs w:val="28"/>
          <w:lang w:val="en-US" w:eastAsia="zh-CN"/>
        </w:rPr>
        <w:t xml:space="preserve"> </w:t>
      </w:r>
    </w:p>
    <w:p>
      <w:pPr>
        <w:pStyle w:val="4"/>
        <w:bidi w:val="0"/>
        <w:rPr>
          <w:rFonts w:hint="eastAsia" w:asciiTheme="majorEastAsia" w:hAnsiTheme="majorEastAsia" w:eastAsiaTheme="majorEastAsia" w:cstheme="majorEastAsia"/>
          <w:b/>
          <w:bCs w:val="0"/>
          <w:sz w:val="24"/>
          <w:szCs w:val="24"/>
        </w:rPr>
      </w:pPr>
      <w:r>
        <w:rPr>
          <w:rFonts w:hint="eastAsia" w:asciiTheme="majorEastAsia" w:hAnsiTheme="majorEastAsia" w:eastAsiaTheme="majorEastAsia" w:cstheme="majorEastAsia"/>
          <w:b/>
          <w:bCs w:val="0"/>
          <w:sz w:val="24"/>
          <w:szCs w:val="24"/>
        </w:rPr>
        <w:t>2.1补体C5单克隆抗体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Eculizumab是一种与末端补体蛋白C5结合的单克隆抗体，阻断C5-9膜攻击复合物的形成，从而保护红细胞免受补体介导的血管内溶血的影响</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9"/>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于2007年3月被美国食品药品监督管理局批准用于治疗阵发性睡眠性血红蛋白尿患者。这是第一种被批准专门用于治疗这种罕见血液病的疗法。Eculizumab可显著减少溶血、血栓事件、肾损害、肺动脉高压，改善患者的疲劳、贫血和生活质量，同时减少输血需求或脱离输血依赖。被广泛用于治疗经典PNH患者，但Eculizumab不能改善PNH骨髓造血功能与清除PNH克隆，Eculizumab阻断补体激活的下游通道，并不能解決PIG-A突变导致的GPI锚缺陷，GPI缺陷的红细胞大量堆积，一旦停药，会导致溶血的暴发，因此，必须终身治疗；Eculizumab给药方式为静脉注射，每2周就需要入院治疗，且价格昂贵，一般患者难以承担。对患者的依从性也带来了挑战；此外，并非所有患者都能在接受Eculizumab治疗后取得理想的效果：近1/4的患者在接受Eculizumab治疗后仍然无法完全摆脱输血依赖，且夹膜类微生物主要靠补体灭活，Eculizumab作为补体抑制剂，使用Eculizumab可显著增加严重感染发生的机会，尤其是脑膜炎奈瑟菌，因此患者在使用Eculizumab前均应进行针对性疫苗接种</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0"/>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1"/>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Ravulizumab是一种新的补体成分C5抑制剂，每8周给药一次</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给患者带来了极大的方便。</w:t>
      </w:r>
      <w:r>
        <w:rPr>
          <w:rFonts w:hint="eastAsia" w:asciiTheme="minorEastAsia" w:hAnsiTheme="minorEastAsia" w:eastAsiaTheme="minorEastAsia" w:cstheme="minorEastAsia"/>
          <w:sz w:val="24"/>
          <w:szCs w:val="24"/>
          <w:lang w:val="en-US" w:eastAsia="zh-CN"/>
        </w:rPr>
        <w:t>近年来</w:t>
      </w:r>
      <w:r>
        <w:rPr>
          <w:rFonts w:hint="eastAsia" w:asciiTheme="minorEastAsia" w:hAnsiTheme="minorEastAsia" w:eastAsiaTheme="minorEastAsia" w:cstheme="minorEastAsia"/>
          <w:sz w:val="24"/>
          <w:szCs w:val="24"/>
        </w:rPr>
        <w:t>Eculizumab和Ravulizumab不断扩展其适应证范围，在多个疾病治疗领域验证了其安全性与有效性，并针对自身不足开发出长效化抗体</w:t>
      </w:r>
      <w:r>
        <w:rPr>
          <w:rFonts w:hint="eastAsia" w:asciiTheme="minorEastAsia" w:hAnsiTheme="minorEastAsia" w:eastAsiaTheme="minorEastAsia" w:cstheme="minorEastAsia"/>
          <w:sz w:val="24"/>
          <w:szCs w:val="24"/>
          <w:lang w:val="en-US" w:eastAsia="zh-CN"/>
        </w:rPr>
        <w:t>以</w:t>
      </w:r>
      <w:r>
        <w:rPr>
          <w:rFonts w:hint="eastAsia" w:asciiTheme="minorEastAsia" w:hAnsiTheme="minorEastAsia" w:eastAsiaTheme="minorEastAsia" w:cstheme="minorEastAsia"/>
          <w:sz w:val="24"/>
          <w:szCs w:val="24"/>
        </w:rPr>
        <w:t>满足患者用药需求。基于 Eculizumab的成功，多家医药公司相继开展研发工作，在单克隆抗体类药物中以开发新的结合位点与拓展适应证为主，有多个单抗进入临床试验阶段。同时多元化的核酸、多肽、小分子类药物研发，将 C5 抑制剂的作用机制大幅度延伸，以期满足不同患者对于疾病治疗的需求。相信未来 C5 的靶向药物应用将更加广泛。</w:t>
      </w:r>
    </w:p>
    <w:p>
      <w:pPr>
        <w:spacing w:line="360" w:lineRule="auto"/>
        <w:ind w:firstLine="480" w:firstLineChars="200"/>
        <w:rPr>
          <w:rFonts w:hint="eastAsia" w:asciiTheme="minorEastAsia" w:hAnsiTheme="minorEastAsia" w:eastAsiaTheme="minorEastAsia" w:cstheme="minorEastAsia"/>
          <w:sz w:val="24"/>
          <w:szCs w:val="24"/>
        </w:rPr>
      </w:pPr>
    </w:p>
    <w:p>
      <w:pP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2.2 c3靶向抑制剂</w:t>
      </w:r>
    </w:p>
    <w:p>
      <w:pPr>
        <w:rPr>
          <w:rFonts w:hint="eastAsia" w:asciiTheme="majorEastAsia" w:hAnsiTheme="majorEastAsia" w:eastAsiaTheme="majorEastAsia" w:cstheme="majorEastAsia"/>
          <w:b/>
          <w:bCs/>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Pegcetacoplan是首个在美国获批的C3靶向抑制剂，用于治疗成人PNH，包括从C5抑制剂Eculizumab单抗和</w:t>
      </w:r>
      <w:r>
        <w:rPr>
          <w:rFonts w:hint="eastAsia" w:asciiTheme="minorEastAsia" w:hAnsiTheme="minorEastAsia" w:eastAsiaTheme="minorEastAsia" w:cstheme="minorEastAsia"/>
          <w:sz w:val="24"/>
          <w:szCs w:val="24"/>
          <w:lang w:val="en-US" w:eastAsia="zh-CN"/>
        </w:rPr>
        <w:t>R</w:t>
      </w:r>
      <w:r>
        <w:rPr>
          <w:rFonts w:hint="eastAsia" w:asciiTheme="minorEastAsia" w:hAnsiTheme="minorEastAsia" w:eastAsiaTheme="minorEastAsia" w:cstheme="minorEastAsia"/>
          <w:sz w:val="24"/>
          <w:szCs w:val="24"/>
        </w:rPr>
        <w:t>avulizuma单抗治疗转换的患者。Pegcetacoplan属于靶向补体C3的抑制剂，直接作用于补体C3，补体C3是补体C5的上游，在补体级联反应中起到关键作用，调节补体级联的过度激活，预防血管内和血管外溶血，能更全面控制PNH患者的溶血问题。特异性地与补体C3和C3b结合，用于治疗补体介导的相关疾病。同时，Pegcetacoplan还能与已产生的活性片段C3b结合，抑制其激活下游效应的产生，主要表现抑制C3b介导的EVH和未端补体介导的NVH</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2"/>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同样，美国免疫接种咨询委员会疫苗接种指南指出，在开始Pegcetacoplan治疗前至少2周，需对患者接种针对荚膜细菌包括肺炎链球菌、脑膜炎奈瑟菌和B型流感嗜血</w:t>
      </w:r>
      <w:r>
        <w:rPr>
          <w:rFonts w:hint="eastAsia" w:asciiTheme="minorEastAsia" w:hAnsiTheme="minorEastAsia" w:eastAsiaTheme="minorEastAsia" w:cstheme="minorEastAsia"/>
          <w:sz w:val="24"/>
          <w:szCs w:val="24"/>
          <w:lang w:val="en-US" w:eastAsia="zh-CN"/>
        </w:rPr>
        <w:t>杆</w:t>
      </w:r>
      <w:r>
        <w:rPr>
          <w:rFonts w:hint="eastAsia" w:asciiTheme="minorEastAsia" w:hAnsiTheme="minorEastAsia" w:eastAsiaTheme="minorEastAsia" w:cstheme="minorEastAsia"/>
          <w:sz w:val="24"/>
          <w:szCs w:val="24"/>
        </w:rPr>
        <w:t>菌的疫苗预防。如果没有接种疫苗并且必须立即开始Pegcetacoplan治疗，应该在开始Pegcetacoplan治疗后立即接种疫苗，同时接受2周的抗生素治疗</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3"/>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Pegcetacoplan</w:t>
      </w:r>
      <w:r>
        <w:rPr>
          <w:rFonts w:hint="eastAsia" w:asciiTheme="minorEastAsia" w:hAnsiTheme="minorEastAsia" w:eastAsiaTheme="minorEastAsia" w:cstheme="minorEastAsia"/>
          <w:sz w:val="24"/>
          <w:szCs w:val="24"/>
          <w:lang w:val="en-US" w:eastAsia="zh-CN"/>
        </w:rPr>
        <w:t>的是治疗方法是</w:t>
      </w:r>
      <w:r>
        <w:rPr>
          <w:rFonts w:hint="eastAsia" w:asciiTheme="minorEastAsia" w:hAnsiTheme="minorEastAsia" w:eastAsiaTheme="minorEastAsia" w:cstheme="minorEastAsia"/>
          <w:sz w:val="24"/>
          <w:szCs w:val="24"/>
        </w:rPr>
        <w:t>每周两次皮下注射，</w:t>
      </w:r>
      <w:r>
        <w:rPr>
          <w:rFonts w:hint="eastAsia" w:asciiTheme="minorEastAsia" w:hAnsiTheme="minorEastAsia" w:eastAsiaTheme="minorEastAsia" w:cstheme="minorEastAsia"/>
          <w:sz w:val="24"/>
          <w:szCs w:val="24"/>
          <w:lang w:val="en-US" w:eastAsia="zh-CN"/>
        </w:rPr>
        <w:t>与</w:t>
      </w:r>
      <w:r>
        <w:rPr>
          <w:rFonts w:hint="eastAsia" w:asciiTheme="minorEastAsia" w:hAnsiTheme="minorEastAsia" w:eastAsiaTheme="minorEastAsia" w:cstheme="minorEastAsia"/>
          <w:sz w:val="24"/>
          <w:szCs w:val="24"/>
        </w:rPr>
        <w:t>C5抑制剂Eculizumab单抗和</w:t>
      </w:r>
      <w:r>
        <w:rPr>
          <w:rFonts w:hint="eastAsia" w:asciiTheme="minorEastAsia" w:hAnsiTheme="minorEastAsia" w:eastAsiaTheme="minorEastAsia" w:cstheme="minorEastAsia"/>
          <w:sz w:val="24"/>
          <w:szCs w:val="24"/>
          <w:lang w:val="en-US" w:eastAsia="zh-CN"/>
        </w:rPr>
        <w:t>R</w:t>
      </w:r>
      <w:r>
        <w:rPr>
          <w:rFonts w:hint="eastAsia" w:asciiTheme="minorEastAsia" w:hAnsiTheme="minorEastAsia" w:eastAsiaTheme="minorEastAsia" w:cstheme="minorEastAsia"/>
          <w:sz w:val="24"/>
          <w:szCs w:val="24"/>
        </w:rPr>
        <w:t>avulizuma单抗</w:t>
      </w:r>
      <w:r>
        <w:rPr>
          <w:rFonts w:hint="eastAsia" w:asciiTheme="minorEastAsia" w:hAnsiTheme="minorEastAsia" w:eastAsiaTheme="minorEastAsia" w:cstheme="minorEastAsia"/>
          <w:sz w:val="24"/>
          <w:szCs w:val="24"/>
          <w:lang w:val="en-US" w:eastAsia="zh-CN"/>
        </w:rPr>
        <w:t>相比，缩短了诊疗时间，</w:t>
      </w:r>
      <w:r>
        <w:rPr>
          <w:rFonts w:hint="eastAsia" w:asciiTheme="minorEastAsia" w:hAnsiTheme="minorEastAsia" w:eastAsiaTheme="minorEastAsia" w:cstheme="minorEastAsia"/>
          <w:sz w:val="24"/>
          <w:szCs w:val="24"/>
        </w:rPr>
        <w:t>可为PNH患者提供一个新的选择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提高了患者的依</w:t>
      </w:r>
      <w:r>
        <w:rPr>
          <w:rFonts w:hint="eastAsia" w:asciiTheme="minorEastAsia" w:hAnsiTheme="minorEastAsia" w:eastAsiaTheme="minorEastAsia" w:cstheme="minorEastAsia"/>
          <w:sz w:val="24"/>
          <w:szCs w:val="24"/>
          <w:lang w:val="en-US" w:eastAsia="zh-CN"/>
        </w:rPr>
        <w:t>从性。</w:t>
      </w:r>
      <w:r>
        <w:rPr>
          <w:rFonts w:hint="eastAsia" w:asciiTheme="minorEastAsia" w:hAnsiTheme="minorEastAsia" w:eastAsiaTheme="minorEastAsia" w:cstheme="minorEastAsia"/>
          <w:sz w:val="24"/>
          <w:szCs w:val="24"/>
        </w:rPr>
        <w:t>Pegcetacoplan的上市使用，是补体疗法在临床应用的一个重要里程碑，同时Pegcetacoplan在其他补体介导的疾病中相关临床研究数据也值得期待。</w:t>
      </w:r>
    </w:p>
    <w:p>
      <w:pPr>
        <w:spacing w:line="360" w:lineRule="auto"/>
        <w:ind w:firstLine="480" w:firstLineChars="200"/>
        <w:rPr>
          <w:rFonts w:hint="eastAsia" w:asciiTheme="minorEastAsia" w:hAnsiTheme="minorEastAsia" w:eastAsiaTheme="minorEastAsia" w:cstheme="minorEastAsia"/>
          <w:sz w:val="24"/>
          <w:szCs w:val="24"/>
        </w:rPr>
      </w:pPr>
    </w:p>
    <w:p>
      <w:pP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2.3</w:t>
      </w:r>
      <w:r>
        <w:rPr>
          <w:rFonts w:hint="eastAsia" w:asciiTheme="majorEastAsia" w:hAnsiTheme="majorEastAsia" w:eastAsiaTheme="majorEastAsia" w:cstheme="majorEastAsia"/>
          <w:b/>
          <w:bCs/>
          <w:sz w:val="24"/>
          <w:szCs w:val="24"/>
          <w:lang w:val="en-US" w:eastAsia="zh-CN"/>
        </w:rPr>
        <w:t>旁路途径</w:t>
      </w:r>
      <w:r>
        <w:rPr>
          <w:rFonts w:hint="eastAsia" w:asciiTheme="majorEastAsia" w:hAnsiTheme="majorEastAsia" w:eastAsiaTheme="majorEastAsia" w:cstheme="majorEastAsia"/>
          <w:b/>
          <w:bCs/>
          <w:sz w:val="24"/>
          <w:szCs w:val="24"/>
        </w:rPr>
        <w:t>抑制剂</w:t>
      </w:r>
    </w:p>
    <w:p>
      <w:pPr>
        <w:rPr>
          <w:rFonts w:hint="eastAsia" w:asciiTheme="majorEastAsia" w:hAnsiTheme="majorEastAsia" w:eastAsiaTheme="majorEastAsia" w:cstheme="majorEastAsia"/>
          <w:b/>
          <w:bCs/>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旁路途径是C3激活的放大环路，许多因子参与了旁路途径的调节，例如H因子、B因子和</w:t>
      </w: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因子。ACH-4471（Danicopan）是D因子的抑制剂，在体外试验中显示了对PNH的治疗效果</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4"/>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它</w:t>
      </w:r>
      <w:r>
        <w:rPr>
          <w:rFonts w:hint="eastAsia" w:asciiTheme="minorEastAsia" w:hAnsiTheme="minorEastAsia" w:eastAsiaTheme="minorEastAsia" w:cstheme="minorEastAsia"/>
          <w:sz w:val="24"/>
          <w:szCs w:val="24"/>
        </w:rPr>
        <w:t>通过抑制补体因子D来阻断补体的替代途径，旨在控制IVH和EVH。</w:t>
      </w:r>
      <w:r>
        <w:rPr>
          <w:rFonts w:hint="eastAsia" w:asciiTheme="minorEastAsia" w:hAnsiTheme="minorEastAsia" w:eastAsiaTheme="minorEastAsia" w:cstheme="minorEastAsia"/>
          <w:sz w:val="24"/>
          <w:szCs w:val="24"/>
          <w:lang w:val="en-US" w:eastAsia="zh-CN"/>
        </w:rPr>
        <w:t>治疗方法是</w:t>
      </w:r>
      <w:r>
        <w:rPr>
          <w:rFonts w:hint="eastAsia" w:asciiTheme="minorEastAsia" w:hAnsiTheme="minorEastAsia" w:eastAsiaTheme="minorEastAsia" w:cstheme="minorEastAsia"/>
          <w:sz w:val="24"/>
          <w:szCs w:val="24"/>
        </w:rPr>
        <w:t>口服给药，可提高血红蛋白水平，并消除了使用Eculizumab单抗治疗PNH的输血依赖患者的输血需求，另一项Eculizumab联用治疗对Eculizumab反应不佳患者的试验还在进行之中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该药已在美国获批上市。从机制上来说，旁路途径的抑制剂对血管外溶血和血管内溶血均有效果，同时对补体激活的阻断相比C5抑制剂更有选择性，因此，在潜在的感染风险面具有更高的安全性。同时，其生物活性支持经口服给药，比静脉输注或皮下注射都更为方便。旁路途径抑制剂将是PNH药物开发中极具前景的方向的药物，未来的研究除了在大样本中验证其安全性和有效性外，联合用药方面的探索也很有价值。</w:t>
      </w:r>
    </w:p>
    <w:p>
      <w:pPr>
        <w:spacing w:line="360" w:lineRule="auto"/>
        <w:ind w:firstLine="480" w:firstLineChars="200"/>
        <w:rPr>
          <w:rFonts w:hint="eastAsia" w:asciiTheme="minorEastAsia" w:hAnsiTheme="minorEastAsia" w:eastAsiaTheme="minorEastAsia" w:cstheme="minorEastAsia"/>
          <w:sz w:val="24"/>
          <w:szCs w:val="24"/>
        </w:rPr>
      </w:pPr>
    </w:p>
    <w:p>
      <w:pP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2.4造血干细胞移植治疗(HSCT)</w:t>
      </w:r>
    </w:p>
    <w:p>
      <w:pPr>
        <w:rPr>
          <w:rFonts w:hint="eastAsia" w:asciiTheme="majorEastAsia" w:hAnsiTheme="majorEastAsia" w:eastAsiaTheme="majorEastAsia" w:cstheme="majorEastAsia"/>
          <w:b/>
          <w:bCs/>
          <w:sz w:val="24"/>
          <w:szCs w:val="24"/>
        </w:rPr>
      </w:pP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造血干细胞移植治疗</w:t>
      </w:r>
      <w:r>
        <w:rPr>
          <w:rFonts w:hint="eastAsia" w:asciiTheme="minorEastAsia" w:hAnsiTheme="minorEastAsia" w:eastAsiaTheme="minorEastAsia" w:cstheme="minorEastAsia"/>
          <w:sz w:val="24"/>
          <w:szCs w:val="24"/>
        </w:rPr>
        <w:t>(HSCT) 目前是唯一可以治愈PNH的方法，但施治难度大，且风险极高。在Eculizumab时代，接受造血干细胞移植 (HSCT) 的阵发性夜问血红蛋白尿 (PNH) 患者数量显著减少。然而，由于可能出现严重再生障碍性贫血（AA）或对Eculizumab的次优反应，HSCT在治疗PNH合并AA或复发性溶血相关症状的患者中仍然发挥着重要作用。考虑到Eculizumab的安全性和有效性，不建议将异基因造血干细胞移植（HSCT）作为经典PNH（C-PNH）或既往血栓形成患者的一线治疗方法。在没有Eculizumab的国家，难治性AA/PNH患者和严重经典PNH患者是HSCT的候选者</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HSCT移植死亡的主要原因包括移植物抗宿主病(GVHD)、感染和血栓性微血管病。此外，Eculizumab与HSCT联合使用可能有助于预防GVHD</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由于补体抑制剂价格昂贵，需终身使用，考虑药物的卫生经济学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Markov决策树模型中认为：年龄&lt;35岁患者接受异基因骨髓移植比接受Eculizumab治疗可以获得更长的寿命和更好的生活质量。但年龄&gt;52岁的患者，接受Eculizumab治疗获益更多</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5"/>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总体来看，移植较终身使用Eculizumab节约治疗费用。</w:t>
      </w:r>
    </w:p>
    <w:p>
      <w:pPr>
        <w:spacing w:line="360" w:lineRule="auto"/>
        <w:ind w:firstLine="480" w:firstLineChars="200"/>
        <w:rPr>
          <w:rFonts w:hint="eastAsia" w:asciiTheme="minorEastAsia" w:hAnsiTheme="minorEastAsia" w:eastAsiaTheme="minorEastAsia" w:cstheme="minorEastAsia"/>
          <w:sz w:val="24"/>
          <w:szCs w:val="24"/>
        </w:rPr>
      </w:pPr>
    </w:p>
    <w:p>
      <w:pPr>
        <w:rPr>
          <w:rFonts w:hint="eastAsia" w:ascii="黑体" w:hAnsi="黑体" w:eastAsia="黑体" w:cs="黑体"/>
          <w:b/>
          <w:bCs/>
          <w:sz w:val="28"/>
          <w:szCs w:val="28"/>
        </w:rPr>
      </w:pPr>
      <w:r>
        <w:rPr>
          <w:rFonts w:hint="eastAsia" w:ascii="黑体" w:hAnsi="黑体" w:eastAsia="黑体" w:cs="黑体"/>
          <w:b/>
          <w:bCs/>
          <w:sz w:val="28"/>
          <w:szCs w:val="28"/>
        </w:rPr>
        <w:t>3我国治疗PNH现况</w:t>
      </w:r>
    </w:p>
    <w:p>
      <w:pPr>
        <w:rPr>
          <w:rFonts w:hint="eastAsia" w:asciiTheme="majorEastAsia" w:hAnsiTheme="majorEastAsia" w:eastAsiaTheme="majorEastAsia" w:cstheme="majorEastAsia"/>
          <w:b/>
          <w:bCs/>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PNH的</w:t>
      </w:r>
      <w:r>
        <w:rPr>
          <w:rFonts w:hint="eastAsia" w:asciiTheme="minorEastAsia" w:hAnsiTheme="minorEastAsia" w:eastAsiaTheme="minorEastAsia" w:cstheme="minorEastAsia"/>
          <w:sz w:val="24"/>
          <w:szCs w:val="24"/>
          <w:lang w:val="en-US" w:eastAsia="zh-CN"/>
        </w:rPr>
        <w:t>临床特征</w:t>
      </w:r>
      <w:r>
        <w:rPr>
          <w:rFonts w:hint="eastAsia" w:asciiTheme="minorEastAsia" w:hAnsiTheme="minorEastAsia" w:eastAsiaTheme="minorEastAsia" w:cstheme="minorEastAsia"/>
          <w:sz w:val="24"/>
          <w:szCs w:val="24"/>
        </w:rPr>
        <w:t>在西方国家与亚洲人群中有很大区别，在西方国家较多见的是血栓性事件，而在亚洲人口中则以骨髓衰竭为突出表现</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6"/>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7"/>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8"/>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由于</w:t>
      </w:r>
      <w:r>
        <w:rPr>
          <w:rFonts w:hint="eastAsia" w:asciiTheme="minorEastAsia" w:hAnsiTheme="minorEastAsia" w:eastAsiaTheme="minorEastAsia" w:cstheme="minorEastAsia"/>
          <w:sz w:val="24"/>
          <w:szCs w:val="24"/>
        </w:rPr>
        <w:t>Eculizumab</w:t>
      </w:r>
      <w:r>
        <w:rPr>
          <w:rFonts w:hint="eastAsia" w:asciiTheme="minorEastAsia" w:hAnsiTheme="minorEastAsia" w:eastAsiaTheme="minorEastAsia" w:cstheme="minorEastAsia"/>
          <w:sz w:val="24"/>
          <w:szCs w:val="24"/>
          <w:lang w:val="en-US" w:eastAsia="zh-CN"/>
        </w:rPr>
        <w:t>单抗</w:t>
      </w:r>
      <w:r>
        <w:rPr>
          <w:rFonts w:hint="eastAsia" w:asciiTheme="minorEastAsia" w:hAnsiTheme="minorEastAsia" w:eastAsiaTheme="minorEastAsia" w:cstheme="minorEastAsia"/>
          <w:sz w:val="24"/>
          <w:szCs w:val="24"/>
        </w:rPr>
        <w:t>补体单抗在中国尚未上市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且并</w:t>
      </w:r>
      <w:r>
        <w:rPr>
          <w:rFonts w:hint="eastAsia" w:asciiTheme="minorEastAsia" w:hAnsiTheme="minorEastAsia" w:eastAsiaTheme="minorEastAsia" w:cstheme="minorEastAsia"/>
          <w:sz w:val="24"/>
          <w:szCs w:val="24"/>
        </w:rPr>
        <w:t>不能改善PNH的骨髓衰竭、无法清除PNH克隆及可能增加感染风险等缺陷</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19"/>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,我国PNH患者的治疗仍以</w:t>
      </w:r>
      <w:r>
        <w:rPr>
          <w:rFonts w:hint="eastAsia" w:asciiTheme="minorEastAsia" w:hAnsiTheme="minorEastAsia" w:eastAsiaTheme="minorEastAsia" w:cstheme="minorEastAsia"/>
          <w:sz w:val="24"/>
          <w:szCs w:val="24"/>
          <w:lang w:val="en-US" w:eastAsia="zh-CN"/>
        </w:rPr>
        <w:t>对症</w:t>
      </w:r>
      <w:r>
        <w:rPr>
          <w:rFonts w:hint="eastAsia" w:asciiTheme="minorEastAsia" w:hAnsiTheme="minorEastAsia" w:eastAsiaTheme="minorEastAsia" w:cstheme="minorEastAsia"/>
          <w:sz w:val="24"/>
          <w:szCs w:val="24"/>
        </w:rPr>
        <w:t>支持治疗为主。</w:t>
      </w:r>
    </w:p>
    <w:p>
      <w:pPr>
        <w:spacing w:line="360" w:lineRule="auto"/>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US" w:eastAsia="zh-CN"/>
        </w:rPr>
        <w:t>3.1常规</w:t>
      </w:r>
      <w:r>
        <w:rPr>
          <w:rFonts w:hint="eastAsia" w:asciiTheme="majorEastAsia" w:hAnsiTheme="majorEastAsia" w:eastAsiaTheme="majorEastAsia" w:cstheme="majorEastAsia"/>
          <w:b/>
          <w:bCs/>
          <w:sz w:val="24"/>
          <w:szCs w:val="24"/>
        </w:rPr>
        <w:t>治疗 PNH 的药物</w:t>
      </w:r>
    </w:p>
    <w:p>
      <w:pPr>
        <w:spacing w:line="360" w:lineRule="auto"/>
        <w:ind w:firstLine="480" w:firstLineChars="20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目前临床</w:t>
      </w:r>
      <w:r>
        <w:rPr>
          <w:rFonts w:hint="eastAsia" w:asciiTheme="minorEastAsia" w:hAnsiTheme="minorEastAsia" w:eastAsiaTheme="minorEastAsia" w:cstheme="minorEastAsia"/>
          <w:sz w:val="24"/>
          <w:szCs w:val="24"/>
        </w:rPr>
        <w:t>常用</w:t>
      </w:r>
      <w:r>
        <w:rPr>
          <w:rFonts w:hint="eastAsia" w:asciiTheme="minorEastAsia" w:hAnsiTheme="minorEastAsia" w:cstheme="minorEastAsia"/>
          <w:sz w:val="24"/>
          <w:szCs w:val="24"/>
          <w:lang w:val="en-US" w:eastAsia="zh-CN"/>
        </w:rPr>
        <w:t>的是</w:t>
      </w:r>
      <w:r>
        <w:rPr>
          <w:rFonts w:hint="eastAsia" w:asciiTheme="minorEastAsia" w:hAnsiTheme="minorEastAsia" w:eastAsiaTheme="minorEastAsia" w:cstheme="minorEastAsia"/>
          <w:sz w:val="24"/>
          <w:szCs w:val="24"/>
        </w:rPr>
        <w:t>免疫抑制剂如肾上腺糖皮质激素、环孢素</w:t>
      </w:r>
      <w:r>
        <w:rPr>
          <w:rFonts w:hint="eastAsia" w:asciiTheme="minorEastAsia" w:hAnsiTheme="minorEastAsia" w:cstheme="minorEastAsia"/>
          <w:sz w:val="24"/>
          <w:szCs w:val="24"/>
          <w:lang w:val="en-US" w:eastAsia="zh-CN"/>
        </w:rPr>
        <w:t>A</w:t>
      </w:r>
      <w:r>
        <w:rPr>
          <w:rFonts w:hint="eastAsia" w:asciiTheme="minorEastAsia" w:hAnsiTheme="minorEastAsia" w:eastAsiaTheme="minorEastAsia" w:cstheme="minorEastAsia"/>
          <w:sz w:val="24"/>
          <w:szCs w:val="24"/>
        </w:rPr>
        <w:t>等，降低免疫系统对于血细胞的攻击</w:t>
      </w:r>
      <w:r>
        <w:rPr>
          <w:rFonts w:hint="eastAsia" w:asciiTheme="minorEastAsia" w:hAnsiTheme="minorEastAsia" w:cstheme="minorEastAsia"/>
          <w:sz w:val="24"/>
          <w:szCs w:val="24"/>
          <w:lang w:val="en-US" w:eastAsia="zh-CN"/>
        </w:rPr>
        <w:t>以</w:t>
      </w:r>
      <w:r>
        <w:rPr>
          <w:rFonts w:hint="eastAsia" w:asciiTheme="minorEastAsia" w:hAnsiTheme="minorEastAsia" w:eastAsiaTheme="minorEastAsia" w:cstheme="minorEastAsia"/>
          <w:sz w:val="24"/>
          <w:szCs w:val="24"/>
        </w:rPr>
        <w:t>控制溶血症状的产生</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但是</w:t>
      </w:r>
      <w:r>
        <w:rPr>
          <w:rFonts w:hint="eastAsia" w:asciiTheme="minorEastAsia" w:hAnsiTheme="minorEastAsia" w:eastAsiaTheme="minorEastAsia" w:cstheme="minorEastAsia"/>
          <w:sz w:val="24"/>
          <w:szCs w:val="24"/>
        </w:rPr>
        <w:t>控制 PNH 症状需要的剂量都较大，潜在的副作用不容忽视，不适合作为日常的基础治疗</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抗胸腺免疫球蛋白( ATG)对大部分伴随 AA的 PNH 治疗有效，</w:t>
      </w:r>
      <w:r>
        <w:rPr>
          <w:rFonts w:hint="eastAsia" w:asciiTheme="minorEastAsia" w:hAnsiTheme="minorEastAsia" w:cstheme="minorEastAsia"/>
          <w:sz w:val="24"/>
          <w:szCs w:val="24"/>
          <w:lang w:val="en-US" w:eastAsia="zh-CN"/>
        </w:rPr>
        <w:t>但</w:t>
      </w:r>
      <w:r>
        <w:rPr>
          <w:rFonts w:hint="eastAsia" w:asciiTheme="minorEastAsia" w:hAnsiTheme="minorEastAsia" w:eastAsiaTheme="minorEastAsia" w:cstheme="minorEastAsia"/>
          <w:sz w:val="24"/>
          <w:szCs w:val="24"/>
          <w:lang w:eastAsia="zh-CN"/>
        </w:rPr>
        <w:t>昂贵的费用限制了其广泛应用。</w:t>
      </w:r>
      <w:r>
        <w:rPr>
          <w:rFonts w:hint="eastAsia" w:asciiTheme="minorEastAsia" w:hAnsiTheme="minorEastAsia" w:eastAsiaTheme="minorEastAsia" w:cstheme="minorEastAsia"/>
          <w:sz w:val="24"/>
          <w:szCs w:val="24"/>
        </w:rPr>
        <w:t>由于血栓为 PNH 患者中致死率极高的并发症，对已发生血栓患者</w:t>
      </w:r>
      <w:r>
        <w:rPr>
          <w:rFonts w:hint="eastAsia" w:asciiTheme="minorEastAsia" w:hAnsiTheme="minorEastAsia" w:cstheme="minorEastAsia"/>
          <w:sz w:val="24"/>
          <w:szCs w:val="24"/>
          <w:lang w:val="en-US" w:eastAsia="zh-CN"/>
        </w:rPr>
        <w:t>可以</w:t>
      </w:r>
      <w:r>
        <w:rPr>
          <w:rFonts w:hint="eastAsia" w:asciiTheme="minorEastAsia" w:hAnsiTheme="minorEastAsia" w:eastAsiaTheme="minorEastAsia" w:cstheme="minorEastAsia"/>
          <w:sz w:val="24"/>
          <w:szCs w:val="24"/>
        </w:rPr>
        <w:t>使用抗凝血药物进行预防，减少病情反复对于患者的影响</w:t>
      </w:r>
      <w:r>
        <w:rPr>
          <w:rStyle w:val="11"/>
          <w:rFonts w:hint="eastAsia" w:asciiTheme="minorEastAsia" w:hAnsiTheme="minorEastAsia" w:eastAsiaTheme="minorEastAsia" w:cstheme="minorEastAsia"/>
          <w:sz w:val="24"/>
          <w:szCs w:val="24"/>
        </w:rPr>
        <w:t>[</w:t>
      </w:r>
      <w:r>
        <w:rPr>
          <w:rStyle w:val="11"/>
          <w:rFonts w:hint="eastAsia" w:asciiTheme="minorEastAsia" w:hAnsiTheme="minorEastAsia" w:eastAsiaTheme="minorEastAsia" w:cstheme="minorEastAsia"/>
          <w:sz w:val="24"/>
          <w:szCs w:val="24"/>
        </w:rPr>
        <w:endnoteReference w:id="20"/>
      </w:r>
      <w:r>
        <w:rPr>
          <w:rStyle w:val="11"/>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但是</w:t>
      </w:r>
      <w:r>
        <w:rPr>
          <w:rFonts w:hint="eastAsia" w:asciiTheme="minorEastAsia" w:hAnsiTheme="minorEastAsia" w:eastAsiaTheme="minorEastAsia" w:cstheme="minorEastAsia"/>
          <w:sz w:val="24"/>
          <w:szCs w:val="24"/>
          <w:lang w:eastAsia="zh-CN"/>
        </w:rPr>
        <w:t>采用抗凝疗法时必须特别注意患者是否存在禁忌症</w:t>
      </w:r>
      <w:r>
        <w:rPr>
          <w:rFonts w:hint="eastAsia" w:asciiTheme="minorEastAsia" w:hAnsiTheme="minorEastAsia" w:cstheme="minorEastAsia"/>
          <w:sz w:val="24"/>
          <w:szCs w:val="24"/>
          <w:lang w:eastAsia="zh-CN"/>
        </w:rPr>
        <w:t>。</w:t>
      </w:r>
    </w:p>
    <w:p>
      <w:pPr>
        <w:spacing w:line="360" w:lineRule="auto"/>
        <w:ind w:firstLine="482" w:firstLineChars="200"/>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3.2输血治疗</w:t>
      </w:r>
    </w:p>
    <w:p>
      <w:pPr>
        <w:spacing w:line="360" w:lineRule="auto"/>
        <w:ind w:firstLine="480" w:firstLineChars="200"/>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PNH通常为慢性贫血，Hb在60~80g/L以上时一般不需输血，当因溶血、缺铁或骨髓再生障碍引起贫血出现缺氧症状时需要输血维持组织供氧;在严重发生溶血、特别是发生溶血危象时，可通过输血将Hct提高至0.35~0.40，从而阻止溶血的继续发展;输血除能提高Hb水平、维持组织供氧外，尚能抑制红细胞生成,间接减少补体敏感的红细胞,减轻血管内溶血。输血是缓解PNH症状的重要手段。</w:t>
      </w:r>
    </w:p>
    <w:p>
      <w:pPr>
        <w:spacing w:line="360" w:lineRule="auto"/>
        <w:ind w:firstLine="480" w:firstLineChars="20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传统观点认为</w:t>
      </w:r>
      <w:r>
        <w:rPr>
          <w:rFonts w:hint="eastAsia" w:asciiTheme="minorEastAsia" w:hAnsiTheme="minorEastAsia" w:cstheme="minorEastAsia"/>
          <w:sz w:val="24"/>
          <w:szCs w:val="24"/>
          <w:lang w:val="en-US" w:eastAsia="zh-CN"/>
        </w:rPr>
        <w:t>输血的</w:t>
      </w:r>
      <w:r>
        <w:rPr>
          <w:rFonts w:hint="eastAsia" w:asciiTheme="minorEastAsia" w:hAnsiTheme="minorEastAsia" w:cstheme="minorEastAsia"/>
          <w:sz w:val="24"/>
          <w:szCs w:val="24"/>
          <w:lang w:eastAsia="zh-CN"/>
        </w:rPr>
        <w:t>主要作用为“去症”，</w:t>
      </w:r>
      <w:r>
        <w:rPr>
          <w:rFonts w:hint="eastAsia" w:asciiTheme="minorEastAsia" w:hAnsiTheme="minorEastAsia" w:cstheme="minorEastAsia"/>
          <w:sz w:val="24"/>
          <w:szCs w:val="24"/>
          <w:lang w:val="en-US" w:eastAsia="zh-CN"/>
        </w:rPr>
        <w:t>就是</w:t>
      </w:r>
      <w:r>
        <w:rPr>
          <w:rFonts w:hint="eastAsia" w:asciiTheme="minorEastAsia" w:hAnsiTheme="minorEastAsia" w:cstheme="minorEastAsia"/>
          <w:sz w:val="24"/>
          <w:szCs w:val="24"/>
          <w:lang w:eastAsia="zh-CN"/>
        </w:rPr>
        <w:t>通过输血迅速改善重症患者的贫血缺氧症状和体征，维持重要脏器</w:t>
      </w:r>
      <w:r>
        <w:rPr>
          <w:rFonts w:hint="eastAsia" w:asciiTheme="minorEastAsia" w:hAnsiTheme="minorEastAsia" w:cstheme="minorEastAsia"/>
          <w:sz w:val="24"/>
          <w:szCs w:val="24"/>
          <w:lang w:val="en-US" w:eastAsia="zh-CN"/>
        </w:rPr>
        <w:t>的正常</w:t>
      </w:r>
      <w:r>
        <w:rPr>
          <w:rFonts w:hint="eastAsia" w:asciiTheme="minorEastAsia" w:hAnsiTheme="minorEastAsia" w:cstheme="minorEastAsia"/>
          <w:sz w:val="24"/>
          <w:szCs w:val="24"/>
          <w:lang w:eastAsia="zh-CN"/>
        </w:rPr>
        <w:t>功能，为“治本”治疗发挥作用（控制溶血）赢得时间。</w:t>
      </w:r>
    </w:p>
    <w:p>
      <w:pPr>
        <w:spacing w:line="360" w:lineRule="auto"/>
        <w:ind w:firstLine="480" w:firstLineChars="200"/>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eastAsia="zh-CN"/>
        </w:rPr>
        <w:t>近年人们发现部分 PNH 患者因迁延不愈的血管内溶血、血红蛋白尿而合并缺铁、缺锌，输血可以补充这些造血必需的微量元素，待溶血控制后贫血可被完全纠正；而有些未输血者即使溶血被控制，因造血原料不足，贫血仍然存在。另外，对PNH 患者输血疗愈机制研究发现，正常献血员未经洗涤的红细胞悬液中含较多红细胞膜“囊泡”。这些“囊泡”带有大量 CD59、CD55及其它 GPI 锚蛋白，当其输入 PNH 患者体内时可与 PNH 红细胞粘附，进而纠正 PNH 红细胞的“缺陷”减轻甚至控制溶血。</w:t>
      </w:r>
      <w:r>
        <w:rPr>
          <w:rFonts w:hint="eastAsia" w:asciiTheme="minorEastAsia" w:hAnsiTheme="minorEastAsia" w:cstheme="minorEastAsia"/>
          <w:sz w:val="24"/>
          <w:szCs w:val="24"/>
          <w:lang w:val="en-US" w:eastAsia="zh-CN"/>
        </w:rPr>
        <w:t>如何更高效利用这些“囊泡”，提高“治本”疗效是目前亟待解决的重要问题。</w:t>
      </w:r>
    </w:p>
    <w:p>
      <w:pPr>
        <w:spacing w:line="360" w:lineRule="auto"/>
        <w:ind w:firstLine="480" w:firstLineChars="200"/>
        <w:rPr>
          <w:rFonts w:hint="eastAsia" w:asciiTheme="minorEastAsia" w:hAnsiTheme="minorEastAsia" w:eastAsiaTheme="minorEastAsia" w:cstheme="minorEastAsia"/>
          <w:sz w:val="24"/>
          <w:szCs w:val="24"/>
        </w:rPr>
      </w:pPr>
    </w:p>
    <w:p>
      <w:pPr>
        <w:rPr>
          <w:rFonts w:hint="eastAsia" w:ascii="黑体" w:hAnsi="黑体" w:eastAsia="黑体" w:cs="黑体"/>
          <w:b/>
          <w:bCs/>
          <w:sz w:val="28"/>
          <w:szCs w:val="28"/>
        </w:rPr>
      </w:pPr>
      <w:r>
        <w:rPr>
          <w:rFonts w:hint="eastAsia" w:ascii="黑体" w:hAnsi="黑体" w:eastAsia="黑体" w:cs="黑体"/>
          <w:b/>
          <w:bCs/>
          <w:sz w:val="28"/>
          <w:szCs w:val="28"/>
          <w:lang w:val="en-US" w:eastAsia="zh-CN"/>
        </w:rPr>
        <w:t xml:space="preserve">4 </w:t>
      </w:r>
      <w:r>
        <w:rPr>
          <w:rFonts w:hint="eastAsia" w:ascii="黑体" w:hAnsi="黑体" w:eastAsia="黑体" w:cs="黑体"/>
          <w:b/>
          <w:bCs/>
          <w:sz w:val="28"/>
          <w:szCs w:val="28"/>
        </w:rPr>
        <w:t>总结与展望</w:t>
      </w:r>
    </w:p>
    <w:p>
      <w:pPr>
        <w:rPr>
          <w:rFonts w:hint="eastAsia" w:ascii="黑体" w:hAnsi="黑体" w:eastAsia="黑体" w:cs="黑体"/>
          <w:b/>
          <w:bCs/>
          <w:sz w:val="28"/>
          <w:szCs w:val="28"/>
        </w:rPr>
      </w:pP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我国目前未上市治疗PNH的特效药</w:t>
      </w:r>
      <w:r>
        <w:rPr>
          <w:rFonts w:hint="eastAsia" w:asciiTheme="minorEastAsia" w:hAnsiTheme="minorEastAsia" w:eastAsiaTheme="minorEastAsia" w:cstheme="minorEastAsia"/>
          <w:sz w:val="24"/>
          <w:szCs w:val="24"/>
        </w:rPr>
        <w:t>，PNH的传统疗法达不到令人满意的效果。这是我们与国际上PNH治疗的主要差距</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但不</w:t>
      </w:r>
      <w:r>
        <w:rPr>
          <w:rFonts w:hint="eastAsia" w:asciiTheme="minorEastAsia" w:hAnsiTheme="minorEastAsia" w:eastAsiaTheme="minorEastAsia" w:cstheme="minorEastAsia"/>
          <w:sz w:val="24"/>
          <w:szCs w:val="24"/>
        </w:rPr>
        <w:t>论是传统治疗还是靶向治疗均没有从根本上清除 PNH 克隆。因此，PNH 的治疗仍然是血液学领域最为棘手的问题之一。基于此，通过学科之间的交叉协作，临床医生与基础研究人员的联合攻关，继续深入研究 PNH 的发病机理，</w:t>
      </w:r>
      <w:r>
        <w:rPr>
          <w:rFonts w:hint="eastAsia" w:asciiTheme="minorEastAsia" w:hAnsiTheme="minorEastAsia" w:cstheme="minorEastAsia"/>
          <w:sz w:val="24"/>
          <w:szCs w:val="24"/>
          <w:lang w:val="en-US" w:eastAsia="zh-CN"/>
        </w:rPr>
        <w:t>对</w:t>
      </w:r>
      <w:r>
        <w:rPr>
          <w:rFonts w:hint="eastAsia" w:asciiTheme="minorEastAsia" w:hAnsiTheme="minorEastAsia" w:eastAsiaTheme="minorEastAsia" w:cstheme="minorEastAsia"/>
          <w:sz w:val="24"/>
          <w:szCs w:val="24"/>
        </w:rPr>
        <w:t>PNH 的表观遗传学</w:t>
      </w:r>
      <w:r>
        <w:rPr>
          <w:rFonts w:hint="eastAsia" w:asciiTheme="minorEastAsia" w:hAnsiTheme="minorEastAsia" w:cstheme="minorEastAsia"/>
          <w:sz w:val="24"/>
          <w:szCs w:val="24"/>
          <w:lang w:val="en-US" w:eastAsia="zh-CN"/>
        </w:rPr>
        <w:t>和临床症状相结合深入</w:t>
      </w:r>
      <w:r>
        <w:rPr>
          <w:rFonts w:hint="eastAsia" w:asciiTheme="minorEastAsia" w:hAnsiTheme="minorEastAsia" w:eastAsiaTheme="minorEastAsia" w:cstheme="minorEastAsia"/>
          <w:sz w:val="24"/>
          <w:szCs w:val="24"/>
        </w:rPr>
        <w:t>研究，寻求更具疗效的治疗模式，实现真正意义上的靶向治疗，是从根本上攻克 PNH 这个难题的关键。</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sectPr>
      <w:endnotePr>
        <w:numFmt w:val="decimal"/>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42">
    <w:p>
      <w:r>
        <w:separator/>
      </w:r>
    </w:p>
  </w:endnote>
  <w:endnote w:type="continuationSeparator" w:id="43">
    <w:p>
      <w:r>
        <w:continuationSeparator/>
      </w:r>
    </w:p>
  </w:endnote>
  <w:endnote w:id="0">
    <w:p>
      <w:pPr>
        <w:pStyle w:val="5"/>
        <w:spacing w:line="360" w:lineRule="auto"/>
        <w:jc w:val="left"/>
        <w:rPr>
          <w:rStyle w:val="11"/>
          <w:rFonts w:hint="default" w:asciiTheme="minorAscii" w:hAnsiTheme="minorAscii" w:eastAsiaTheme="minorEastAsia" w:cstheme="minorEastAsia"/>
          <w:sz w:val="21"/>
          <w:szCs w:val="21"/>
        </w:rPr>
      </w:pPr>
    </w:p>
    <w:p>
      <w:pPr>
        <w:pStyle w:val="5"/>
        <w:spacing w:line="360" w:lineRule="auto"/>
        <w:jc w:val="left"/>
        <w:rPr>
          <w:rStyle w:val="11"/>
          <w:rFonts w:hint="default" w:asciiTheme="minorAscii" w:hAnsiTheme="minorAscii" w:eastAsiaTheme="minorEastAsia" w:cstheme="minorEastAsia"/>
          <w:sz w:val="21"/>
          <w:szCs w:val="21"/>
          <w:lang w:val="en-US" w:eastAsia="zh-CN"/>
        </w:rPr>
      </w:pPr>
      <w:r>
        <w:rPr>
          <w:rFonts w:hint="eastAsia" w:asciiTheme="minorAscii" w:hAnsiTheme="minorAscii" w:cstheme="minorEastAsia"/>
          <w:sz w:val="21"/>
          <w:szCs w:val="21"/>
          <w:lang w:val="en-US" w:eastAsia="zh-CN"/>
        </w:rPr>
        <w:t>参考文献</w:t>
      </w:r>
    </w:p>
    <w:p>
      <w:pPr>
        <w:pStyle w:val="5"/>
        <w:spacing w:line="360" w:lineRule="auto"/>
        <w:jc w:val="left"/>
        <w:rPr>
          <w:rStyle w:val="11"/>
          <w:rFonts w:hint="default" w:asciiTheme="minorAscii" w:hAnsiTheme="minorAscii" w:eastAsiaTheme="minorEastAsia" w:cstheme="minorEastAsia"/>
          <w:sz w:val="21"/>
          <w:szCs w:val="21"/>
        </w:rPr>
      </w:pPr>
    </w:p>
    <w:p>
      <w:pPr>
        <w:pStyle w:val="5"/>
        <w:spacing w:line="360" w:lineRule="auto"/>
        <w:jc w:val="left"/>
        <w:rPr>
          <w:rFonts w:hint="default" w:asciiTheme="minorAscii" w:hAnsiTheme="minorAscii" w:eastAsiaTheme="minorEastAsia" w:cstheme="minorEastAsia"/>
          <w:sz w:val="24"/>
          <w:szCs w:val="24"/>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w:t>
      </w:r>
      <w:r>
        <w:rPr>
          <w:rFonts w:hint="default" w:asciiTheme="minorAscii" w:hAnsiTheme="minorAscii" w:eastAsiaTheme="minorEastAsia" w:cstheme="minorEastAsia"/>
          <w:sz w:val="24"/>
          <w:szCs w:val="24"/>
        </w:rPr>
        <w:t>Strubing P. Paroxysmale haemoglobinurie. Dtsch Med Wochenschr. 1882;8:1-16.</w:t>
      </w:r>
    </w:p>
  </w:endnote>
  <w:endnote w:id="1">
    <w:p>
      <w:pPr>
        <w:pStyle w:val="5"/>
        <w:spacing w:line="360" w:lineRule="auto"/>
        <w:ind w:left="420" w:hanging="480" w:hangingChars="200"/>
        <w:jc w:val="left"/>
        <w:rPr>
          <w:rFonts w:hint="default" w:asciiTheme="minorAscii" w:hAnsiTheme="minorAscii" w:eastAsiaTheme="minorEastAsia" w:cstheme="minorEastAsia"/>
          <w:sz w:val="24"/>
          <w:szCs w:val="24"/>
        </w:rPr>
      </w:pPr>
      <w:r>
        <w:rPr>
          <w:rStyle w:val="11"/>
          <w:rFonts w:hint="default" w:asciiTheme="minorAscii" w:hAnsiTheme="minorAscii" w:eastAsiaTheme="minorEastAsia" w:cstheme="minorEastAsia"/>
          <w:sz w:val="24"/>
          <w:szCs w:val="24"/>
        </w:rPr>
        <w:t>[</w:t>
      </w:r>
      <w:r>
        <w:rPr>
          <w:rStyle w:val="11"/>
          <w:rFonts w:hint="default" w:asciiTheme="minorAscii" w:hAnsiTheme="minorAscii" w:eastAsiaTheme="minorEastAsia" w:cstheme="minorEastAsia"/>
          <w:sz w:val="24"/>
          <w:szCs w:val="24"/>
        </w:rPr>
        <w:endnoteRef/>
      </w:r>
      <w:r>
        <w:rPr>
          <w:rStyle w:val="11"/>
          <w:rFonts w:hint="default" w:asciiTheme="minorAscii" w:hAnsiTheme="minorAscii" w:eastAsiaTheme="minorEastAsia" w:cstheme="minorEastAsia"/>
          <w:sz w:val="24"/>
          <w:szCs w:val="24"/>
        </w:rPr>
        <w:t>]</w:t>
      </w:r>
      <w:r>
        <w:rPr>
          <w:rFonts w:hint="default" w:asciiTheme="minorAscii" w:hAnsiTheme="minorAscii" w:eastAsiaTheme="minorEastAsia" w:cstheme="minorEastAsia"/>
          <w:sz w:val="24"/>
          <w:szCs w:val="24"/>
          <w:lang w:val="en-US" w:eastAsia="zh-CN"/>
        </w:rPr>
        <w:t xml:space="preserve"> </w:t>
      </w:r>
      <w:r>
        <w:rPr>
          <w:rFonts w:hint="default" w:asciiTheme="minorAscii" w:hAnsiTheme="minorAscii" w:eastAsiaTheme="minorEastAsia" w:cstheme="minorEastAsia"/>
          <w:sz w:val="24"/>
          <w:szCs w:val="24"/>
        </w:rPr>
        <w:t xml:space="preserve">Enneking J. Eine neue </w:t>
      </w:r>
      <w:r>
        <w:rPr>
          <w:rFonts w:hint="default" w:asciiTheme="minorAscii" w:hAnsiTheme="minorAscii" w:eastAsiaTheme="minorEastAsia" w:cstheme="minorEastAsia"/>
          <w:sz w:val="24"/>
          <w:szCs w:val="24"/>
          <w:lang w:val="en-US" w:eastAsia="zh-CN"/>
        </w:rPr>
        <w:t>f</w:t>
      </w:r>
      <w:r>
        <w:rPr>
          <w:rFonts w:hint="default" w:asciiTheme="minorAscii" w:hAnsiTheme="minorAscii" w:eastAsiaTheme="minorEastAsia" w:cstheme="minorEastAsia"/>
          <w:sz w:val="24"/>
          <w:szCs w:val="24"/>
        </w:rPr>
        <w:t>orm intermittierender haemoglobinurie (Haemoglobinuria</w:t>
      </w:r>
      <w:r>
        <w:rPr>
          <w:rFonts w:hint="default" w:asciiTheme="minorAscii" w:hAnsiTheme="minorAscii" w:cstheme="minorEastAsia"/>
          <w:sz w:val="24"/>
          <w:szCs w:val="24"/>
          <w:lang w:val="en-US" w:eastAsia="zh-CN"/>
        </w:rPr>
        <w:t xml:space="preserve"> </w:t>
      </w:r>
      <w:r>
        <w:rPr>
          <w:rFonts w:hint="default" w:asciiTheme="minorAscii" w:hAnsiTheme="minorAscii" w:eastAsiaTheme="minorEastAsia" w:cstheme="minorEastAsia"/>
          <w:sz w:val="24"/>
          <w:szCs w:val="24"/>
        </w:rPr>
        <w:t>paroxysmalis</w:t>
      </w:r>
      <w:r>
        <w:rPr>
          <w:rFonts w:hint="default" w:asciiTheme="minorAscii" w:hAnsiTheme="minorAscii" w:eastAsiaTheme="minorEastAsia" w:cstheme="minorEastAsia"/>
          <w:sz w:val="24"/>
          <w:szCs w:val="24"/>
          <w:lang w:val="en-US" w:eastAsia="zh-CN"/>
        </w:rPr>
        <w:t xml:space="preserve"> </w:t>
      </w:r>
      <w:r>
        <w:rPr>
          <w:rFonts w:hint="default" w:asciiTheme="minorAscii" w:hAnsiTheme="minorAscii" w:eastAsiaTheme="minorEastAsia" w:cstheme="minorEastAsia"/>
          <w:sz w:val="24"/>
          <w:szCs w:val="24"/>
        </w:rPr>
        <w:t>nocturia). Klin Wochenschr. 1928;7:2045.</w:t>
      </w:r>
    </w:p>
  </w:endnote>
  <w:endnote w:id="2">
    <w:p>
      <w:pPr>
        <w:pStyle w:val="5"/>
        <w:spacing w:line="360" w:lineRule="auto"/>
        <w:ind w:left="210" w:hanging="240" w:hangingChars="100"/>
        <w:jc w:val="left"/>
        <w:rPr>
          <w:rFonts w:hint="default" w:asciiTheme="minorAscii" w:hAnsiTheme="minorAscii" w:eastAsiaTheme="minorEastAsia" w:cstheme="minorEastAsia"/>
          <w:sz w:val="24"/>
          <w:szCs w:val="24"/>
        </w:rPr>
      </w:pPr>
      <w:r>
        <w:rPr>
          <w:rStyle w:val="11"/>
          <w:rFonts w:hint="default" w:asciiTheme="minorAscii" w:hAnsiTheme="minorAscii" w:eastAsiaTheme="minorEastAsia" w:cstheme="minorEastAsia"/>
          <w:sz w:val="24"/>
          <w:szCs w:val="24"/>
        </w:rPr>
        <w:t>[</w:t>
      </w:r>
      <w:r>
        <w:rPr>
          <w:rStyle w:val="11"/>
          <w:rFonts w:hint="default" w:asciiTheme="minorAscii" w:hAnsiTheme="minorAscii" w:eastAsiaTheme="minorEastAsia" w:cstheme="minorEastAsia"/>
          <w:sz w:val="24"/>
          <w:szCs w:val="24"/>
        </w:rPr>
        <w:endnoteRef/>
      </w:r>
      <w:r>
        <w:rPr>
          <w:rStyle w:val="11"/>
          <w:rFonts w:hint="default" w:asciiTheme="minorAscii" w:hAnsiTheme="minorAscii" w:eastAsiaTheme="minorEastAsia" w:cstheme="minorEastAsia"/>
          <w:sz w:val="24"/>
          <w:szCs w:val="24"/>
        </w:rPr>
        <w:t>]</w:t>
      </w:r>
      <w:r>
        <w:rPr>
          <w:rFonts w:hint="default" w:asciiTheme="minorAscii" w:hAnsiTheme="minorAscii" w:eastAsiaTheme="minorEastAsia" w:cstheme="minorEastAsia"/>
          <w:sz w:val="24"/>
          <w:szCs w:val="24"/>
          <w:lang w:val="en-US" w:eastAsia="zh-CN"/>
        </w:rPr>
        <w:t xml:space="preserve"> </w:t>
      </w:r>
      <w:r>
        <w:rPr>
          <w:rFonts w:hint="default" w:asciiTheme="minorAscii" w:hAnsiTheme="minorAscii" w:eastAsiaTheme="minorEastAsia" w:cstheme="minorEastAsia"/>
          <w:sz w:val="24"/>
          <w:szCs w:val="24"/>
        </w:rPr>
        <w:t xml:space="preserve">Ham T.Chronic hemolytic anemia with paroxysmal nocturnal hemoglobinuria. A study of the mechanism of hemolysisin relation to acid-base equilibrium. </w:t>
      </w:r>
    </w:p>
    <w:p>
      <w:pPr>
        <w:pStyle w:val="5"/>
        <w:spacing w:line="360" w:lineRule="auto"/>
        <w:ind w:left="210" w:leftChars="100" w:firstLine="0" w:firstLineChars="0"/>
        <w:jc w:val="left"/>
        <w:rPr>
          <w:rFonts w:hint="default" w:asciiTheme="minorAscii" w:hAnsiTheme="minorAscii" w:eastAsiaTheme="minorEastAsia" w:cstheme="minorEastAsia"/>
          <w:sz w:val="24"/>
          <w:szCs w:val="24"/>
        </w:rPr>
      </w:pPr>
      <w:r>
        <w:rPr>
          <w:rFonts w:hint="default" w:asciiTheme="minorAscii" w:hAnsiTheme="minorAscii" w:eastAsiaTheme="minorEastAsia" w:cstheme="minorEastAsia"/>
          <w:sz w:val="24"/>
          <w:szCs w:val="24"/>
        </w:rPr>
        <w:t>N Engl J</w:t>
      </w:r>
      <w:r>
        <w:rPr>
          <w:rFonts w:hint="default" w:asciiTheme="minorAscii" w:hAnsiTheme="minorAscii" w:eastAsiaTheme="minorEastAsia" w:cstheme="minorEastAsia"/>
          <w:sz w:val="24"/>
          <w:szCs w:val="24"/>
          <w:lang w:val="en-US" w:eastAsia="zh-CN"/>
        </w:rPr>
        <w:t xml:space="preserve"> </w:t>
      </w:r>
      <w:r>
        <w:rPr>
          <w:rFonts w:hint="default" w:asciiTheme="minorAscii" w:hAnsiTheme="minorAscii" w:eastAsiaTheme="minorEastAsia" w:cstheme="minorEastAsia"/>
          <w:sz w:val="24"/>
          <w:szCs w:val="24"/>
        </w:rPr>
        <w:t>Med.1937;217(23):915-917.</w:t>
      </w:r>
    </w:p>
  </w:endnote>
  <w:endnote w:id="3">
    <w:p>
      <w:pPr>
        <w:pStyle w:val="5"/>
        <w:snapToGrid w:val="0"/>
        <w:rPr>
          <w:rFonts w:hint="default" w:asciiTheme="minorAscii" w:hAnsiTheme="minorAscii" w:eastAsiaTheme="minorEastAsia" w:cstheme="minorEastAsia"/>
          <w:sz w:val="21"/>
          <w:szCs w:val="21"/>
        </w:rPr>
      </w:pPr>
      <w:r>
        <w:rPr>
          <w:rStyle w:val="11"/>
          <w:rFonts w:hint="default" w:asciiTheme="minorAscii" w:hAnsiTheme="minorAscii"/>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Brodsky RA，Hu R. PIG -A mutations in paroxysmal nocturnal</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rPr>
        <w:t>hemoglobinuria and in normal hematopoiesis ［J］. Leuk</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rPr>
        <w:t>Lymphoma，2006，47（7）: 1215-1221.</w:t>
      </w:r>
    </w:p>
  </w:endnote>
  <w:endnote w:id="4">
    <w:p>
      <w:pPr>
        <w:pStyle w:val="5"/>
        <w:snapToGrid w:val="0"/>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w:t>
      </w:r>
      <w:r>
        <w:rPr>
          <w:rFonts w:hint="default" w:asciiTheme="minorAscii" w:hAnsiTheme="minorAscii" w:eastAsiaTheme="minorEastAsia" w:cstheme="minorEastAsia"/>
          <w:sz w:val="21"/>
          <w:szCs w:val="21"/>
          <w:lang w:eastAsia="zh-CN"/>
        </w:rPr>
        <w:t>International PNH Interest Group （IPIG）. International PNH</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lang w:eastAsia="zh-CN"/>
        </w:rPr>
        <w:t>interest group［EB/OL］.（2020- 07- 20）［2022- 04- 26］. https://www.pnhinterestgroup.org/.</w:t>
      </w:r>
    </w:p>
  </w:endnote>
  <w:endnote w:id="5">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heme="minorAscii" w:hAnsiTheme="minorAscii" w:eastAsiaTheme="minorEastAsia" w:cstheme="minorEastAsia"/>
          <w:sz w:val="21"/>
          <w:szCs w:val="21"/>
          <w:lang w:val="en-US" w:eastAsia="zh-CN"/>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w:t>
      </w:r>
      <w:r>
        <w:rPr>
          <w:rFonts w:hint="default" w:asciiTheme="minorAscii" w:hAnsiTheme="minorAscii" w:eastAsiaTheme="minorEastAsia" w:cstheme="minorEastAsia"/>
          <w:sz w:val="21"/>
          <w:szCs w:val="21"/>
          <w:lang w:eastAsia="zh-CN"/>
        </w:rPr>
        <w:t>[Nicholson-Weller A, Spicer D</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lang w:eastAsia="zh-CN"/>
        </w:rPr>
        <w:t>B,</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lang w:eastAsia="zh-CN"/>
        </w:rPr>
        <w:t>et</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lang w:eastAsia="zh-CN"/>
        </w:rPr>
        <w:t>al. Deficiency of the complement regulatory protein, “decay-accelerating factor,” on membranes of granulocytes, monocytes, and platelets in paroxysmal nocturnal hemoglobinuria[J]. New Engl J Med, 1985, 312(17): 1091-1097.]</w:t>
      </w:r>
    </w:p>
    <w:p>
      <w:pPr>
        <w:pStyle w:val="5"/>
        <w:snapToGrid w:val="0"/>
        <w:rPr>
          <w:rFonts w:hint="default" w:asciiTheme="minorAscii" w:hAnsiTheme="minorAscii"/>
        </w:rPr>
      </w:pPr>
    </w:p>
  </w:endnote>
  <w:endnote w:id="6">
    <w:p>
      <w:pPr>
        <w:pStyle w:val="5"/>
        <w:spacing w:line="360" w:lineRule="auto"/>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Brodsky RA. Paroxysmal nocturnal hemoglobinuria.Blood 2014, 124 (18):2804-2811.</w:t>
      </w:r>
    </w:p>
  </w:endnote>
  <w:endnote w:id="7">
    <w:p>
      <w:pPr>
        <w:pStyle w:val="5"/>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Hillmen P, Lewis SM, Bressler M, et al.Natural history of paroxysmal nocturnal hemoglobinuria LJ] .N Engl J Med, 1995, 333(19): 1253-1258.</w:t>
      </w:r>
    </w:p>
  </w:endnote>
  <w:endnote w:id="8">
    <w:p>
      <w:pPr>
        <w:pStyle w:val="5"/>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de Latour RP, Mary JY, Salanoubat C, et al. Paroxysmal nocturnal hemoglobinuria: natural history of disease subcategories [J] . Blood, 2008,112 8):3099-3106.</w:t>
      </w:r>
    </w:p>
  </w:endnote>
  <w:endnote w:id="9">
    <w:p>
      <w:pPr>
        <w:pStyle w:val="5"/>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RP Rother, SA Rollins, CF Mojcik, RA Brodsky, L Bell Discc and development of the complement inhibitor eculizumab for the treatment of paroxysmal nocturnal hemoglobinuria</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rPr>
        <w:t>Nat Bivtechnol, 25 (2007),pp. 1256-1264</w:t>
      </w:r>
    </w:p>
  </w:endnote>
  <w:endnote w:id="10">
    <w:p>
      <w:pPr>
        <w:pStyle w:val="5"/>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Kelly R</w:t>
      </w:r>
      <w:r>
        <w:rPr>
          <w:rFonts w:hint="default" w:asciiTheme="minorAscii" w:hAnsiTheme="minorAscii" w:eastAsiaTheme="minorEastAsia" w:cstheme="minorEastAsia"/>
          <w:sz w:val="21"/>
          <w:szCs w:val="21"/>
          <w:lang w:val="en-US" w:eastAsia="zh-CN"/>
        </w:rPr>
        <w:t>J</w:t>
      </w:r>
      <w:r>
        <w:rPr>
          <w:rFonts w:hint="default" w:asciiTheme="minorAscii" w:hAnsiTheme="minorAscii" w:eastAsiaTheme="minorEastAsia" w:cstheme="minorEastAsia"/>
          <w:sz w:val="21"/>
          <w:szCs w:val="21"/>
        </w:rPr>
        <w:t>,Hill A, Arnold LM, et al. Long-term treatment with eculizumab in paroxysmal nocturnal hemoglobinuria:sustained efficacy and improved survival [J].</w:t>
      </w:r>
    </w:p>
    <w:p>
      <w:pPr>
        <w:pStyle w:val="5"/>
        <w:spacing w:line="360" w:lineRule="auto"/>
        <w:ind w:left="210" w:leftChars="100" w:firstLine="0" w:firstLineChars="0"/>
        <w:jc w:val="left"/>
        <w:rPr>
          <w:rFonts w:hint="default" w:asciiTheme="minorAscii" w:hAnsiTheme="minorAscii" w:eastAsiaTheme="minorEastAsia" w:cstheme="minorEastAsia"/>
          <w:sz w:val="21"/>
          <w:szCs w:val="21"/>
        </w:rPr>
      </w:pPr>
      <w:r>
        <w:rPr>
          <w:rFonts w:hint="default" w:asciiTheme="minorAscii" w:hAnsiTheme="minorAscii" w:eastAsiaTheme="minorEastAsia" w:cstheme="minorEastAsia"/>
          <w:sz w:val="21"/>
          <w:szCs w:val="21"/>
        </w:rPr>
        <w:t>Blood, 2011, 117 (25) : 6786-6792 receipt of meningococcal vaccine. MMWR Morb Mortal Wkly Rep,2017,66:734-737</w:t>
      </w:r>
    </w:p>
  </w:endnote>
  <w:endnote w:id="11">
    <w:p>
      <w:pPr>
        <w:pStyle w:val="5"/>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Lee JW, Sicre de Fontbrune F, Wong Lee Lee</w:t>
      </w:r>
      <w:r>
        <w:rPr>
          <w:rFonts w:hint="default" w:asciiTheme="minorAscii" w:hAnsiTheme="minorAscii" w:eastAsiaTheme="minorEastAsia" w:cstheme="minorEastAsia"/>
          <w:sz w:val="21"/>
          <w:szCs w:val="21"/>
          <w:lang w:val="en-US" w:eastAsia="zh-CN"/>
        </w:rPr>
        <w:t>L</w:t>
      </w:r>
      <w:r>
        <w:rPr>
          <w:rFonts w:hint="default" w:asciiTheme="minorAscii" w:hAnsiTheme="minorAscii" w:eastAsiaTheme="minorEastAsia" w:cstheme="minorEastAsia"/>
          <w:sz w:val="21"/>
          <w:szCs w:val="21"/>
        </w:rPr>
        <w:t>, et al.Ravulizumab (ALXN1210) vs eculizumab in adult patients with PNH naive to complement inhibitors: the 301 study [J]Blood,2019, 133 (6):530-539.</w:t>
      </w:r>
    </w:p>
  </w:endnote>
  <w:endnote w:id="12">
    <w:p>
      <w:pPr>
        <w:pStyle w:val="5"/>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FDA. Pegcetacoplan [EB/OL]  . (2021-05-14)[2021-11-20] http: //www. accessdatd. fda.gov/drugsatfda_ docs/label/2021/215014s00olbl.</w:t>
      </w:r>
    </w:p>
  </w:endnote>
  <w:endnote w:id="13">
    <w:p>
      <w:pPr>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FDA.Pegcetacoplan [EB/OL]  . (2021-05-14) [2021-11-20] http: //www. accessdatd. fda.gov/drugsatfda_docs/label/2021/215014s000lbl.</w:t>
      </w:r>
    </w:p>
  </w:endnote>
  <w:endnote w:id="14">
    <w:p>
      <w:pPr>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rPr>
        <w:t>Wiles JA, Galvan MD, Podos SD, et al. Discovery and development of the oral complement factor inhibitor danicopan (ACH-4471)[ J ] . Curr Med</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rPr>
        <w:t>Chem, 2020, 27 (25)：4165-4180.</w:t>
      </w:r>
    </w:p>
  </w:endnote>
  <w:endnote w:id="15">
    <w:p>
      <w:pPr>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Marchetti M,Barosi G. Should I transplant this patient with</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rPr>
        <w:t>paroxysmal nocturnal hemoglobinuria A cost-effectiveness</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rPr>
        <w:t>analysis of eculizumab versus allogeneic stem cell transplant [J] .Blood, 2014, 124（6) :735.</w:t>
      </w:r>
    </w:p>
  </w:endnote>
  <w:endnote w:id="16">
    <w:p>
      <w:pPr>
        <w:spacing w:line="360" w:lineRule="auto"/>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Rotoli B, Luzzatto L.Paroxysmal nocturnal haemoglobinuria [J] . Baillieres</w:t>
      </w:r>
    </w:p>
    <w:p>
      <w:pPr>
        <w:spacing w:line="360" w:lineRule="auto"/>
        <w:ind w:firstLine="210" w:firstLineChars="100"/>
        <w:jc w:val="left"/>
        <w:rPr>
          <w:rFonts w:hint="default" w:asciiTheme="minorAscii" w:hAnsiTheme="minorAscii" w:eastAsiaTheme="minorEastAsia" w:cstheme="minorEastAsia"/>
          <w:sz w:val="21"/>
          <w:szCs w:val="21"/>
        </w:rPr>
      </w:pPr>
      <w:r>
        <w:rPr>
          <w:rFonts w:hint="default" w:asciiTheme="minorAscii" w:hAnsiTheme="minorAscii" w:eastAsiaTheme="minorEastAsia" w:cstheme="minorEastAsia"/>
          <w:sz w:val="21"/>
          <w:szCs w:val="21"/>
        </w:rPr>
        <w:t>Clin Haematol, 1989, 2 (1) :113-138.</w:t>
      </w:r>
    </w:p>
  </w:endnote>
  <w:endnote w:id="17">
    <w:p>
      <w:pPr>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Ge M, Li X, Shi J, et al. Clinical features and prognostic factors of Asian patients with paroxysmal nocturnal hemoglobinuria:</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rPr>
        <w:t>results from a single center in China _J] . Ann Hematol, 2012, 91 (7) :1121-1128. DOI: 10.1007/s00277-012-1413-6.</w:t>
      </w:r>
    </w:p>
  </w:endnote>
  <w:endnote w:id="18">
    <w:p>
      <w:pPr>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Ge M, Shi J, Li X, et al. Clinical features and survival of Asian pediatric patients with paroxysmal nocturnal hemoglobinuria:results from a single center in China [J] . Acta Haematol,</w:t>
      </w:r>
    </w:p>
  </w:endnote>
  <w:endnote w:id="19">
    <w:p>
      <w:pPr>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Borowitz Mu, CraigFE, Digiuseppe JA, et al. Guidelines for the diagnosis and</w:t>
      </w:r>
      <w:r>
        <w:rPr>
          <w:rFonts w:hint="default" w:asciiTheme="minorAscii" w:hAnsiTheme="minorAscii" w:eastAsiaTheme="minorEastAsia" w:cstheme="minorEastAsia"/>
          <w:sz w:val="21"/>
          <w:szCs w:val="21"/>
          <w:lang w:val="en-US" w:eastAsia="zh-CN"/>
        </w:rPr>
        <w:t xml:space="preserve"> </w:t>
      </w:r>
      <w:r>
        <w:rPr>
          <w:rFonts w:hint="default" w:asciiTheme="minorAscii" w:hAnsiTheme="minorAscii" w:eastAsiaTheme="minorEastAsia" w:cstheme="minorEastAsia"/>
          <w:sz w:val="21"/>
          <w:szCs w:val="21"/>
        </w:rPr>
        <w:t xml:space="preserve">monitoring of paroxysmal nocturnal hemoglobinuria and related disorders by flow cytometry [J] . </w:t>
      </w:r>
    </w:p>
    <w:p>
      <w:pPr>
        <w:spacing w:line="360" w:lineRule="auto"/>
        <w:ind w:left="210" w:leftChars="100" w:firstLine="0" w:firstLineChars="0"/>
        <w:jc w:val="left"/>
        <w:rPr>
          <w:rFonts w:hint="default" w:asciiTheme="minorAscii" w:hAnsiTheme="minorAscii" w:eastAsiaTheme="minorEastAsia" w:cstheme="minorEastAsia"/>
          <w:sz w:val="21"/>
          <w:szCs w:val="21"/>
        </w:rPr>
      </w:pPr>
      <w:r>
        <w:rPr>
          <w:rFonts w:hint="default" w:asciiTheme="minorAscii" w:hAnsiTheme="minorAscii" w:eastAsiaTheme="minorEastAsia" w:cstheme="minorEastAsia"/>
          <w:sz w:val="21"/>
          <w:szCs w:val="21"/>
        </w:rPr>
        <w:t>Cytometry BClin</w:t>
      </w:r>
      <w:r>
        <w:rPr>
          <w:rFonts w:hint="default" w:asciiTheme="minorAscii" w:hAnsiTheme="minorAscii" w:cstheme="minorEastAsia"/>
          <w:sz w:val="21"/>
          <w:szCs w:val="21"/>
          <w:lang w:val="en-US" w:eastAsia="zh-CN"/>
        </w:rPr>
        <w:t xml:space="preserve"> </w:t>
      </w:r>
      <w:r>
        <w:rPr>
          <w:rFonts w:hint="default" w:asciiTheme="minorAscii" w:hAnsiTheme="minorAscii" w:eastAsiaTheme="minorEastAsia" w:cstheme="minorEastAsia"/>
          <w:sz w:val="21"/>
          <w:szCs w:val="21"/>
        </w:rPr>
        <w:t>Cytom,2010,78(4):211-230.DOl:10.1002/cyto.b.20525.</w:t>
      </w:r>
    </w:p>
  </w:endnote>
  <w:endnote w:id="20">
    <w:p>
      <w:pPr>
        <w:spacing w:line="360" w:lineRule="auto"/>
        <w:ind w:left="210" w:hanging="210" w:hangingChars="100"/>
        <w:jc w:val="left"/>
        <w:rPr>
          <w:rFonts w:hint="default" w:asciiTheme="minorAscii" w:hAnsiTheme="minorAscii" w:eastAsiaTheme="minorEastAsia" w:cstheme="minorEastAsia"/>
          <w:sz w:val="21"/>
          <w:szCs w:val="21"/>
        </w:rPr>
      </w:pPr>
      <w:r>
        <w:rPr>
          <w:rStyle w:val="11"/>
          <w:rFonts w:hint="default" w:asciiTheme="minorAscii" w:hAnsiTheme="minorAscii" w:eastAsiaTheme="minorEastAsia" w:cstheme="minorEastAsia"/>
          <w:sz w:val="21"/>
          <w:szCs w:val="21"/>
        </w:rPr>
        <w:t>[</w:t>
      </w:r>
      <w:r>
        <w:rPr>
          <w:rStyle w:val="11"/>
          <w:rFonts w:hint="default" w:asciiTheme="minorAscii" w:hAnsiTheme="minorAscii" w:eastAsiaTheme="minorEastAsia" w:cstheme="minorEastAsia"/>
          <w:sz w:val="21"/>
          <w:szCs w:val="21"/>
        </w:rPr>
        <w:endnoteRef/>
      </w:r>
      <w:r>
        <w:rPr>
          <w:rStyle w:val="11"/>
          <w:rFonts w:hint="default" w:asciiTheme="minorAscii" w:hAnsiTheme="minorAscii" w:eastAsiaTheme="minorEastAsia" w:cstheme="minorEastAsia"/>
          <w:sz w:val="21"/>
          <w:szCs w:val="21"/>
        </w:rPr>
        <w:t>]</w:t>
      </w:r>
      <w:r>
        <w:rPr>
          <w:rFonts w:hint="default" w:asciiTheme="minorAscii" w:hAnsiTheme="minorAscii" w:eastAsiaTheme="minorEastAsia" w:cstheme="minorEastAsia"/>
          <w:sz w:val="21"/>
          <w:szCs w:val="21"/>
        </w:rPr>
        <w:t xml:space="preserve"> 阵发性睡眠性血红蛋白尿症诊断与治疗中国专家共识 [J]. 中华血液学杂志 , 2013, 34(3): 276-279</w:t>
      </w:r>
    </w:p>
    <w:p>
      <w:pPr>
        <w:pStyle w:val="5"/>
        <w:snapToGrid w:val="0"/>
        <w:spacing w:line="360" w:lineRule="auto"/>
        <w:jc w:val="left"/>
        <w:rPr>
          <w:rFonts w:hint="default" w:asciiTheme="minorAscii" w:hAnsiTheme="minorAscii" w:eastAsiaTheme="minorEastAsia" w:cstheme="minorEastAsia"/>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snapToGrid w:val="0"/>
        <w:rPr>
          <w:rStyle w:val="12"/>
        </w:rPr>
      </w:pPr>
    </w:p>
    <w:p>
      <w:pPr>
        <w:pStyle w:val="8"/>
        <w:snapToGrid w:val="0"/>
        <w:rPr>
          <w:rStyle w:val="12"/>
        </w:rPr>
      </w:pPr>
      <w:r>
        <w:rPr>
          <w:rFonts w:ascii="Cambria Math" w:hAnsi="Cambria Math" w:eastAsia="宋体" w:cs="Cambria Math"/>
          <w:sz w:val="15"/>
          <w:szCs w:val="15"/>
          <w:vertAlign w:val="superscript"/>
        </w:rPr>
        <w:t>△</w:t>
      </w:r>
      <w:r>
        <w:rPr>
          <w:rFonts w:ascii="Times New Roman" w:hAnsi="Times New Roman" w:eastAsia="宋体"/>
          <w:sz w:val="15"/>
          <w:szCs w:val="15"/>
        </w:rPr>
        <w:t>通信作者</w:t>
      </w:r>
      <w:r>
        <w:rPr>
          <w:rFonts w:hint="eastAsia" w:ascii="Times New Roman" w:hAnsi="Times New Roman" w:eastAsia="宋体"/>
          <w:sz w:val="15"/>
          <w:szCs w:val="15"/>
          <w:lang w:eastAsia="zh-CN"/>
        </w:rPr>
        <w:t>：</w:t>
      </w:r>
      <w:r>
        <w:rPr>
          <w:rFonts w:ascii="Times New Roman" w:hAnsi="Times New Roman" w:eastAsia="宋体"/>
          <w:kern w:val="0"/>
          <w:sz w:val="15"/>
          <w:szCs w:val="15"/>
        </w:rPr>
        <w:t>李玲</w:t>
      </w:r>
      <w:r>
        <w:rPr>
          <w:rFonts w:ascii="Times New Roman" w:hAnsi="Times New Roman" w:eastAsia="宋体"/>
          <w:sz w:val="15"/>
          <w:szCs w:val="15"/>
        </w:rPr>
        <w:t>，Email：</w:t>
      </w:r>
      <w:r>
        <w:fldChar w:fldCharType="begin"/>
      </w:r>
      <w:r>
        <w:instrText xml:space="preserve"> HYPERLINK "mailto:553284722@qq.com" </w:instrText>
      </w:r>
      <w:r>
        <w:fldChar w:fldCharType="separate"/>
      </w:r>
      <w:r>
        <w:rPr>
          <w:rFonts w:ascii="Times New Roman" w:hAnsi="Times New Roman" w:eastAsia="宋体"/>
          <w:kern w:val="0"/>
          <w:sz w:val="15"/>
          <w:szCs w:val="15"/>
        </w:rPr>
        <w:t>553284722@qq.com</w:t>
      </w:r>
      <w:r>
        <w:rPr>
          <w:rFonts w:ascii="Times New Roman" w:hAnsi="Times New Roman" w:eastAsia="宋体"/>
          <w:kern w:val="0"/>
          <w:sz w:val="15"/>
          <w:szCs w:val="15"/>
        </w:rPr>
        <w:fldChar w:fldCharType="end"/>
      </w:r>
    </w:p>
    <w:p>
      <w:pPr>
        <w:pStyle w:val="8"/>
        <w:snapToGrid w:val="0"/>
        <w:rPr>
          <w:rFonts w:hint="default" w:eastAsiaTheme="minorEastAsia"/>
          <w:lang w:val="en-US" w:eastAsia="zh-C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numFmt w:val="decimal"/>
    <w:endnote w:id="42"/>
    <w:endnote w:id="43"/>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NGRhNWI3MTQ0MTAyZjE4YjhkMzkyNGIzOTc3YWMifQ=="/>
  </w:docVars>
  <w:rsids>
    <w:rsidRoot w:val="00E623D9"/>
    <w:rsid w:val="000144BD"/>
    <w:rsid w:val="00297E82"/>
    <w:rsid w:val="00391C9B"/>
    <w:rsid w:val="00434E00"/>
    <w:rsid w:val="00466702"/>
    <w:rsid w:val="00557217"/>
    <w:rsid w:val="005E4BF4"/>
    <w:rsid w:val="0070029B"/>
    <w:rsid w:val="00703638"/>
    <w:rsid w:val="0083578B"/>
    <w:rsid w:val="00927ACB"/>
    <w:rsid w:val="00BF0E02"/>
    <w:rsid w:val="00C2048A"/>
    <w:rsid w:val="00C24649"/>
    <w:rsid w:val="00DF0A23"/>
    <w:rsid w:val="00E23791"/>
    <w:rsid w:val="00E623D9"/>
    <w:rsid w:val="00EE687D"/>
    <w:rsid w:val="00F84406"/>
    <w:rsid w:val="0834740D"/>
    <w:rsid w:val="14CD7B05"/>
    <w:rsid w:val="286E2A65"/>
    <w:rsid w:val="2CFC720D"/>
    <w:rsid w:val="321956E2"/>
    <w:rsid w:val="3A4270A7"/>
    <w:rsid w:val="3AD33E45"/>
    <w:rsid w:val="40717743"/>
    <w:rsid w:val="468F1DDF"/>
    <w:rsid w:val="47E1363B"/>
    <w:rsid w:val="4CA2234E"/>
    <w:rsid w:val="4F35529B"/>
    <w:rsid w:val="54492049"/>
    <w:rsid w:val="6381535B"/>
    <w:rsid w:val="6DCC75BA"/>
    <w:rsid w:val="712A4E91"/>
    <w:rsid w:val="71836742"/>
    <w:rsid w:val="73B72081"/>
    <w:rsid w:val="74926A86"/>
    <w:rsid w:val="7B6969A9"/>
    <w:rsid w:val="7CB86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endnote text"/>
    <w:basedOn w:val="1"/>
    <w:link w:val="16"/>
    <w:semiHidden/>
    <w:unhideWhenUsed/>
    <w:qFormat/>
    <w:uiPriority w:val="99"/>
    <w:pPr>
      <w:snapToGrid w:val="0"/>
      <w:jc w:val="left"/>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5"/>
    <w:semiHidden/>
    <w:unhideWhenUsed/>
    <w:qFormat/>
    <w:uiPriority w:val="99"/>
    <w:pPr>
      <w:snapToGrid w:val="0"/>
      <w:jc w:val="left"/>
    </w:pPr>
    <w:rPr>
      <w:sz w:val="18"/>
      <w:szCs w:val="18"/>
    </w:rPr>
  </w:style>
  <w:style w:type="character" w:styleId="11">
    <w:name w:val="endnote reference"/>
    <w:basedOn w:val="10"/>
    <w:semiHidden/>
    <w:unhideWhenUsed/>
    <w:qFormat/>
    <w:uiPriority w:val="99"/>
    <w:rPr>
      <w:vertAlign w:val="superscript"/>
    </w:rPr>
  </w:style>
  <w:style w:type="character" w:styleId="12">
    <w:name w:val="footnote reference"/>
    <w:basedOn w:val="10"/>
    <w:semiHidden/>
    <w:unhideWhenUsed/>
    <w:qFormat/>
    <w:uiPriority w:val="99"/>
    <w:rPr>
      <w:vertAlign w:val="superscript"/>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脚注文本 Char"/>
    <w:basedOn w:val="10"/>
    <w:link w:val="8"/>
    <w:semiHidden/>
    <w:qFormat/>
    <w:uiPriority w:val="99"/>
    <w:rPr>
      <w:sz w:val="18"/>
      <w:szCs w:val="18"/>
    </w:rPr>
  </w:style>
  <w:style w:type="character" w:customStyle="1" w:styleId="16">
    <w:name w:val="尾注文本 Char"/>
    <w:basedOn w:val="10"/>
    <w:link w:val="5"/>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340E80-3959-4DD4-A44E-ADD40865DF63}">
  <ds:schemaRefs/>
</ds:datastoreItem>
</file>

<file path=docProps/app.xml><?xml version="1.0" encoding="utf-8"?>
<Properties xmlns="http://schemas.openxmlformats.org/officeDocument/2006/extended-properties" xmlns:vt="http://schemas.openxmlformats.org/officeDocument/2006/docPropsVTypes">
  <Template>Normal</Template>
  <Pages>6</Pages>
  <Words>3874</Words>
  <Characters>5310</Characters>
  <Lines>37</Lines>
  <Paragraphs>10</Paragraphs>
  <TotalTime>1</TotalTime>
  <ScaleCrop>false</ScaleCrop>
  <LinksUpToDate>false</LinksUpToDate>
  <CharactersWithSpaces>5505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2023-07-24T06:11:00Z</dcterms:created>
  <dc:creator>xb21cn</dc:creator>
  <cp:lastModifiedBy>玲子</cp:lastModifiedBy>
  <dcterms:modified xsi:type="dcterms:W3CDTF">2023-10-08T15:00:18Z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007D1B5907A649378D1007968BA643EB_13</vt:lpwstr>
  </property>
</Properties>
</file>