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C5" w:rsidRPr="00072C77" w:rsidRDefault="009C04C5" w:rsidP="00D8132D">
      <w:pPr>
        <w:autoSpaceDE w:val="0"/>
        <w:autoSpaceDN w:val="0"/>
        <w:adjustRightInd w:val="0"/>
        <w:spacing w:line="640" w:lineRule="atLeast"/>
        <w:jc w:val="center"/>
        <w:rPr>
          <w:rFonts w:ascii="Times New Roman" w:hAnsi="Times New Roman" w:cs="Times New Roman"/>
          <w:color w:val="000000"/>
          <w:kern w:val="0"/>
          <w:sz w:val="24"/>
        </w:rPr>
      </w:pPr>
      <w:bookmarkStart w:id="0" w:name="OLE_LINK66"/>
      <w:bookmarkStart w:id="1" w:name="OLE_LINK67"/>
      <w:r w:rsidRPr="00072C77">
        <w:rPr>
          <w:rFonts w:ascii="Times New Roman" w:hAnsi="Times New Roman" w:cs="Times New Roman"/>
          <w:b/>
          <w:bCs/>
          <w:color w:val="000000"/>
          <w:kern w:val="0"/>
          <w:sz w:val="24"/>
        </w:rPr>
        <w:t>Update on transfusion-related acute lung injury: An overview of its diagnosis</w:t>
      </w:r>
    </w:p>
    <w:p w:rsidR="009C04C5" w:rsidRPr="00FE6D42" w:rsidRDefault="009C04C5" w:rsidP="00FE6D42">
      <w:pPr>
        <w:autoSpaceDE w:val="0"/>
        <w:autoSpaceDN w:val="0"/>
        <w:adjustRightInd w:val="0"/>
        <w:spacing w:line="640" w:lineRule="atLeast"/>
        <w:jc w:val="center"/>
        <w:rPr>
          <w:rFonts w:ascii="Times New Roman" w:hAnsi="Times New Roman" w:cs="Times New Roman"/>
          <w:color w:val="000000"/>
          <w:kern w:val="0"/>
          <w:sz w:val="24"/>
        </w:rPr>
      </w:pPr>
      <w:proofErr w:type="spellStart"/>
      <w:r w:rsidRPr="00072C77">
        <w:rPr>
          <w:rFonts w:ascii="Times New Roman" w:hAnsi="Times New Roman" w:cs="Times New Roman"/>
          <w:color w:val="000000"/>
          <w:kern w:val="0"/>
          <w:sz w:val="24"/>
        </w:rPr>
        <w:t>Yunhong</w:t>
      </w:r>
      <w:proofErr w:type="spellEnd"/>
      <w:r w:rsidRPr="00072C77">
        <w:rPr>
          <w:rFonts w:ascii="Times New Roman" w:hAnsi="Times New Roman" w:cs="Times New Roman"/>
          <w:color w:val="000000"/>
          <w:kern w:val="0"/>
          <w:sz w:val="24"/>
        </w:rPr>
        <w:t xml:space="preserve"> Yu</w:t>
      </w:r>
      <w:r w:rsidRPr="00072C77">
        <w:rPr>
          <w:rFonts w:ascii="Times New Roman" w:hAnsi="Times New Roman" w:cs="Times New Roman"/>
          <w:color w:val="000000"/>
          <w:kern w:val="0"/>
          <w:sz w:val="24"/>
          <w:vertAlign w:val="superscript"/>
        </w:rPr>
        <w:t>1</w:t>
      </w:r>
      <w:r w:rsidRPr="00072C77">
        <w:rPr>
          <w:rFonts w:ascii="Times New Roman" w:hAnsi="Times New Roman" w:cs="Times New Roman"/>
          <w:color w:val="000000"/>
          <w:kern w:val="0"/>
          <w:sz w:val="24"/>
        </w:rPr>
        <w:t xml:space="preserve">, </w:t>
      </w:r>
      <w:r>
        <w:rPr>
          <w:rFonts w:ascii="Times New Roman" w:hAnsi="Times New Roman" w:cs="Times New Roman"/>
          <w:color w:val="000000"/>
          <w:kern w:val="0"/>
          <w:sz w:val="24"/>
        </w:rPr>
        <w:t>Ling Li</w:t>
      </w:r>
      <w:r w:rsidRPr="00072C77">
        <w:rPr>
          <w:rFonts w:ascii="Times New Roman" w:hAnsi="Times New Roman" w:cs="Times New Roman"/>
          <w:color w:val="000000"/>
          <w:kern w:val="0"/>
          <w:sz w:val="24"/>
          <w:vertAlign w:val="superscript"/>
        </w:rPr>
        <w:t>1</w:t>
      </w:r>
      <w:r>
        <w:rPr>
          <w:rFonts w:ascii="Times New Roman" w:hAnsi="Times New Roman" w:cs="Times New Roman" w:hint="eastAsia"/>
          <w:color w:val="000000"/>
          <w:kern w:val="0"/>
          <w:sz w:val="24"/>
        </w:rPr>
        <w:t>,</w:t>
      </w:r>
      <w:r>
        <w:rPr>
          <w:rFonts w:ascii="Times New Roman" w:hAnsi="Times New Roman" w:cs="Times New Roman"/>
          <w:color w:val="000000"/>
          <w:kern w:val="0"/>
          <w:sz w:val="24"/>
        </w:rPr>
        <w:t xml:space="preserve"> </w:t>
      </w:r>
      <w:proofErr w:type="spellStart"/>
      <w:r w:rsidRPr="00072C77">
        <w:rPr>
          <w:rFonts w:ascii="Times New Roman" w:hAnsi="Times New Roman" w:cs="Times New Roman"/>
          <w:color w:val="000000"/>
          <w:kern w:val="0"/>
          <w:sz w:val="24"/>
        </w:rPr>
        <w:t>Zhengqiu</w:t>
      </w:r>
      <w:proofErr w:type="spellEnd"/>
      <w:r w:rsidRPr="00072C77">
        <w:rPr>
          <w:rFonts w:ascii="Times New Roman" w:hAnsi="Times New Roman" w:cs="Times New Roman"/>
          <w:color w:val="000000"/>
          <w:kern w:val="0"/>
          <w:sz w:val="24"/>
        </w:rPr>
        <w:t xml:space="preserve"> Lian</w:t>
      </w:r>
      <w:r w:rsidRPr="00072C77">
        <w:rPr>
          <w:rFonts w:ascii="Times New Roman" w:hAnsi="Times New Roman" w:cs="Times New Roman"/>
          <w:color w:val="000000"/>
          <w:kern w:val="0"/>
          <w:sz w:val="24"/>
          <w:vertAlign w:val="superscript"/>
        </w:rPr>
        <w:t>1</w:t>
      </w:r>
      <w:r>
        <w:rPr>
          <w:rFonts w:ascii="Times New Roman" w:hAnsi="Times New Roman" w:cs="Times New Roman"/>
          <w:color w:val="000000"/>
          <w:kern w:val="0"/>
          <w:sz w:val="24"/>
        </w:rPr>
        <w:t xml:space="preserve"> </w:t>
      </w:r>
    </w:p>
    <w:p w:rsidR="009C04C5" w:rsidRPr="00072C77" w:rsidRDefault="009C04C5" w:rsidP="00072C77">
      <w:pPr>
        <w:autoSpaceDE w:val="0"/>
        <w:autoSpaceDN w:val="0"/>
        <w:adjustRightInd w:val="0"/>
        <w:spacing w:line="480" w:lineRule="atLeast"/>
        <w:rPr>
          <w:rFonts w:ascii="Times New Roman" w:hAnsi="Times New Roman" w:cs="Times New Roman"/>
          <w:color w:val="000000"/>
          <w:kern w:val="0"/>
          <w:sz w:val="24"/>
        </w:rPr>
      </w:pPr>
      <w:r w:rsidRPr="00072C77">
        <w:rPr>
          <w:rFonts w:ascii="Times New Roman" w:hAnsi="Times New Roman" w:cs="Times New Roman"/>
          <w:color w:val="000000"/>
          <w:kern w:val="0"/>
          <w:sz w:val="24"/>
        </w:rPr>
        <w:t xml:space="preserve">1. Department of blood transfusion, the Third People's Hospital of Chengdu, Affiliated Hospital of Southwest </w:t>
      </w:r>
      <w:proofErr w:type="spellStart"/>
      <w:r w:rsidRPr="00072C77">
        <w:rPr>
          <w:rFonts w:ascii="Times New Roman" w:hAnsi="Times New Roman" w:cs="Times New Roman"/>
          <w:color w:val="000000"/>
          <w:kern w:val="0"/>
          <w:sz w:val="24"/>
        </w:rPr>
        <w:t>Jiaotong</w:t>
      </w:r>
      <w:proofErr w:type="spellEnd"/>
      <w:r w:rsidRPr="00072C77">
        <w:rPr>
          <w:rFonts w:ascii="Times New Roman" w:hAnsi="Times New Roman" w:cs="Times New Roman"/>
          <w:color w:val="000000"/>
          <w:kern w:val="0"/>
          <w:sz w:val="24"/>
        </w:rPr>
        <w:t xml:space="preserve"> University, Chengdu</w:t>
      </w:r>
      <w:r w:rsidR="004A5A08">
        <w:rPr>
          <w:rFonts w:ascii="Times New Roman" w:hAnsi="Times New Roman" w:cs="Times New Roman"/>
          <w:color w:val="000000"/>
          <w:kern w:val="0"/>
          <w:sz w:val="24"/>
        </w:rPr>
        <w:t xml:space="preserve"> 610031</w:t>
      </w:r>
      <w:r w:rsidRPr="00072C77">
        <w:rPr>
          <w:rFonts w:ascii="Times New Roman" w:hAnsi="Times New Roman" w:cs="Times New Roman"/>
          <w:color w:val="000000"/>
          <w:kern w:val="0"/>
          <w:sz w:val="24"/>
        </w:rPr>
        <w:t>, China.</w:t>
      </w:r>
    </w:p>
    <w:p w:rsidR="009C04C5" w:rsidRPr="00072C77" w:rsidRDefault="009C04C5" w:rsidP="00072C77">
      <w:pPr>
        <w:autoSpaceDE w:val="0"/>
        <w:autoSpaceDN w:val="0"/>
        <w:adjustRightInd w:val="0"/>
        <w:spacing w:line="480" w:lineRule="atLeast"/>
        <w:rPr>
          <w:rFonts w:ascii="Times New Roman" w:hAnsi="Times New Roman" w:cs="Times New Roman"/>
          <w:color w:val="000000"/>
          <w:kern w:val="0"/>
          <w:sz w:val="24"/>
        </w:rPr>
      </w:pPr>
      <w:r w:rsidRPr="00072C77">
        <w:rPr>
          <w:rFonts w:ascii="Times New Roman" w:hAnsi="Times New Roman" w:cs="Times New Roman"/>
          <w:color w:val="000000"/>
          <w:kern w:val="0"/>
          <w:sz w:val="24"/>
        </w:rPr>
        <w:t xml:space="preserve">Corresponding author: </w:t>
      </w:r>
      <w:proofErr w:type="spellStart"/>
      <w:r w:rsidRPr="00072C77">
        <w:rPr>
          <w:rFonts w:ascii="Times New Roman" w:hAnsi="Times New Roman" w:cs="Times New Roman"/>
          <w:color w:val="000000"/>
          <w:kern w:val="0"/>
          <w:sz w:val="24"/>
        </w:rPr>
        <w:t>Zhengqiu</w:t>
      </w:r>
      <w:proofErr w:type="spellEnd"/>
      <w:r w:rsidRPr="00072C77">
        <w:rPr>
          <w:rFonts w:ascii="Times New Roman" w:hAnsi="Times New Roman" w:cs="Times New Roman"/>
          <w:color w:val="000000"/>
          <w:kern w:val="0"/>
          <w:sz w:val="24"/>
        </w:rPr>
        <w:t xml:space="preserve"> </w:t>
      </w:r>
      <w:proofErr w:type="spellStart"/>
      <w:r w:rsidRPr="00072C77">
        <w:rPr>
          <w:rFonts w:ascii="Times New Roman" w:hAnsi="Times New Roman" w:cs="Times New Roman"/>
          <w:color w:val="000000"/>
          <w:kern w:val="0"/>
          <w:sz w:val="24"/>
        </w:rPr>
        <w:t>Lian</w:t>
      </w:r>
      <w:proofErr w:type="spellEnd"/>
      <w:r w:rsidRPr="00072C77">
        <w:rPr>
          <w:rFonts w:ascii="Times New Roman" w:hAnsi="Times New Roman" w:cs="Times New Roman"/>
          <w:color w:val="000000"/>
          <w:kern w:val="0"/>
          <w:sz w:val="24"/>
        </w:rPr>
        <w:t xml:space="preserve">, Department of blood transfusion, the Third People's Hospital of Chengdu, Affiliated Hospital of Southwest </w:t>
      </w:r>
      <w:proofErr w:type="spellStart"/>
      <w:r w:rsidRPr="00072C77">
        <w:rPr>
          <w:rFonts w:ascii="Times New Roman" w:hAnsi="Times New Roman" w:cs="Times New Roman"/>
          <w:color w:val="000000"/>
          <w:kern w:val="0"/>
          <w:sz w:val="24"/>
        </w:rPr>
        <w:t>Jiaotong</w:t>
      </w:r>
      <w:proofErr w:type="spellEnd"/>
      <w:r w:rsidRPr="00072C77">
        <w:rPr>
          <w:rFonts w:ascii="Times New Roman" w:hAnsi="Times New Roman" w:cs="Times New Roman"/>
          <w:color w:val="000000"/>
          <w:kern w:val="0"/>
          <w:sz w:val="24"/>
        </w:rPr>
        <w:t xml:space="preserve"> University, Chengdu, China; E-mail: </w:t>
      </w:r>
      <w:r>
        <w:rPr>
          <w:rFonts w:ascii="Times New Roman" w:hAnsi="Times New Roman" w:cs="Times New Roman"/>
          <w:color w:val="000000"/>
          <w:kern w:val="0"/>
          <w:sz w:val="24"/>
        </w:rPr>
        <w:t>2237932531@qq.com</w:t>
      </w:r>
    </w:p>
    <w:p w:rsidR="009C04C5" w:rsidRPr="00072C77" w:rsidRDefault="009C04C5" w:rsidP="00072C77">
      <w:pPr>
        <w:autoSpaceDE w:val="0"/>
        <w:autoSpaceDN w:val="0"/>
        <w:adjustRightInd w:val="0"/>
        <w:spacing w:line="640" w:lineRule="atLeast"/>
        <w:rPr>
          <w:rFonts w:ascii="Times New Roman" w:hAnsi="Times New Roman" w:cs="Times New Roman"/>
          <w:color w:val="000000"/>
          <w:kern w:val="0"/>
          <w:sz w:val="24"/>
        </w:rPr>
      </w:pPr>
      <w:r w:rsidRPr="00072C77">
        <w:rPr>
          <w:rFonts w:ascii="Times New Roman" w:hAnsi="Times New Roman" w:cs="Times New Roman"/>
          <w:b/>
          <w:bCs/>
          <w:color w:val="000000"/>
          <w:kern w:val="0"/>
          <w:sz w:val="24"/>
        </w:rPr>
        <w:t xml:space="preserve">Abstract </w:t>
      </w:r>
    </w:p>
    <w:p w:rsidR="009C04C5" w:rsidRPr="00072C77" w:rsidRDefault="009C04C5" w:rsidP="00072C77">
      <w:pPr>
        <w:autoSpaceDE w:val="0"/>
        <w:autoSpaceDN w:val="0"/>
        <w:adjustRightInd w:val="0"/>
        <w:spacing w:line="480" w:lineRule="atLeast"/>
        <w:rPr>
          <w:rFonts w:ascii="Times New Roman" w:hAnsi="Times New Roman" w:cs="Times New Roman"/>
          <w:color w:val="000000"/>
          <w:kern w:val="0"/>
          <w:sz w:val="24"/>
        </w:rPr>
      </w:pPr>
      <w:bookmarkStart w:id="2" w:name="OLE_LINK46"/>
      <w:bookmarkStart w:id="3" w:name="OLE_LINK47"/>
      <w:bookmarkStart w:id="4" w:name="OLE_LINK64"/>
      <w:bookmarkStart w:id="5" w:name="OLE_LINK65"/>
      <w:r w:rsidRPr="00072C77">
        <w:rPr>
          <w:rFonts w:ascii="Times New Roman" w:hAnsi="Times New Roman" w:cs="Times New Roman"/>
          <w:color w:val="000000"/>
          <w:kern w:val="0"/>
          <w:sz w:val="24"/>
        </w:rPr>
        <w:t>Transfusion-related acute lung injury</w:t>
      </w:r>
      <w:bookmarkEnd w:id="2"/>
      <w:bookmarkEnd w:id="3"/>
      <w:r w:rsidRPr="00072C77">
        <w:rPr>
          <w:rFonts w:ascii="Times New Roman" w:hAnsi="Times New Roman" w:cs="Times New Roman"/>
          <w:color w:val="000000"/>
          <w:kern w:val="0"/>
          <w:sz w:val="24"/>
        </w:rPr>
        <w:t xml:space="preserve"> </w:t>
      </w:r>
      <w:bookmarkEnd w:id="4"/>
      <w:bookmarkEnd w:id="5"/>
      <w:r w:rsidRPr="00072C77">
        <w:rPr>
          <w:rFonts w:ascii="Times New Roman" w:hAnsi="Times New Roman" w:cs="Times New Roman"/>
          <w:color w:val="000000"/>
          <w:kern w:val="0"/>
          <w:sz w:val="24"/>
        </w:rPr>
        <w:t>(TRALI) is a serious adverse reaction, which is associated with blood transfusion. TRALI can be life-threatening and typically require</w:t>
      </w:r>
      <w:r>
        <w:rPr>
          <w:rFonts w:ascii="Times New Roman" w:hAnsi="Times New Roman" w:cs="Times New Roman"/>
          <w:color w:val="000000"/>
          <w:kern w:val="0"/>
          <w:sz w:val="24"/>
        </w:rPr>
        <w:t xml:space="preserve"> </w:t>
      </w:r>
      <w:r w:rsidRPr="00072C77">
        <w:rPr>
          <w:rFonts w:ascii="Times New Roman" w:hAnsi="Times New Roman" w:cs="Times New Roman"/>
          <w:color w:val="000000"/>
          <w:kern w:val="0"/>
          <w:sz w:val="24"/>
        </w:rPr>
        <w:t xml:space="preserve">prompt medical intervention. </w:t>
      </w:r>
      <w:r w:rsidRPr="008B11EC">
        <w:rPr>
          <w:rFonts w:ascii="Times New Roman" w:hAnsi="Times New Roman" w:cs="Times New Roman"/>
          <w:color w:val="000000"/>
          <w:kern w:val="0"/>
          <w:sz w:val="24"/>
        </w:rPr>
        <w:t>Distinguishing it from other forms of acute lung injury is crucial for effective treatment.</w:t>
      </w:r>
      <w:r w:rsidRPr="008B11EC">
        <w:rPr>
          <w:rFonts w:ascii="Times New Roman" w:hAnsi="Times New Roman" w:cs="Times New Roman" w:hint="eastAsia"/>
          <w:color w:val="000000"/>
          <w:kern w:val="0"/>
          <w:sz w:val="24"/>
        </w:rPr>
        <w:t xml:space="preserve"> </w:t>
      </w:r>
      <w:bookmarkStart w:id="6" w:name="OLE_LINK44"/>
      <w:bookmarkStart w:id="7" w:name="OLE_LINK45"/>
      <w:r w:rsidRPr="00072C77">
        <w:rPr>
          <w:rFonts w:ascii="Times New Roman" w:hAnsi="Times New Roman" w:cs="Times New Roman"/>
          <w:color w:val="000000"/>
          <w:kern w:val="0"/>
          <w:sz w:val="24"/>
        </w:rPr>
        <w:t>Hence, an urgent need exists for the development of early and accurate detection methods for TRALI</w:t>
      </w:r>
      <w:bookmarkEnd w:id="6"/>
      <w:bookmarkEnd w:id="7"/>
      <w:r w:rsidRPr="00072C77">
        <w:rPr>
          <w:rFonts w:ascii="Times New Roman" w:hAnsi="Times New Roman" w:cs="Times New Roman"/>
          <w:color w:val="000000"/>
          <w:kern w:val="0"/>
          <w:sz w:val="24"/>
        </w:rPr>
        <w:t>.</w:t>
      </w:r>
      <w:r>
        <w:rPr>
          <w:rFonts w:ascii="Times New Roman" w:hAnsi="Times New Roman" w:cs="Times New Roman"/>
          <w:color w:val="000000"/>
          <w:kern w:val="0"/>
          <w:sz w:val="24"/>
        </w:rPr>
        <w:t xml:space="preserve"> </w:t>
      </w:r>
      <w:r w:rsidRPr="00072C77">
        <w:rPr>
          <w:rFonts w:ascii="Times New Roman" w:hAnsi="Times New Roman" w:cs="Times New Roman"/>
          <w:color w:val="000000"/>
          <w:kern w:val="0"/>
          <w:sz w:val="24"/>
        </w:rPr>
        <w:t xml:space="preserve">This </w:t>
      </w:r>
      <w:r>
        <w:rPr>
          <w:rFonts w:ascii="Times New Roman" w:hAnsi="Times New Roman" w:cs="Times New Roman" w:hint="eastAsia"/>
          <w:color w:val="000000"/>
          <w:kern w:val="0"/>
          <w:sz w:val="24"/>
        </w:rPr>
        <w:t>mini</w:t>
      </w:r>
      <w:r w:rsidRPr="00072C77">
        <w:rPr>
          <w:rFonts w:ascii="Times New Roman" w:hAnsi="Times New Roman" w:cs="Times New Roman"/>
          <w:color w:val="000000"/>
          <w:kern w:val="0"/>
          <w:sz w:val="24"/>
        </w:rPr>
        <w:t xml:space="preserve"> review</w:t>
      </w:r>
      <w:r>
        <w:rPr>
          <w:rFonts w:ascii="Times New Roman" w:hAnsi="Times New Roman" w:cs="Times New Roman"/>
          <w:color w:val="000000"/>
          <w:kern w:val="0"/>
          <w:sz w:val="24"/>
        </w:rPr>
        <w:t xml:space="preserve"> </w:t>
      </w:r>
      <w:r>
        <w:rPr>
          <w:rFonts w:ascii="Times New Roman" w:hAnsi="Times New Roman" w:cs="Times New Roman" w:hint="eastAsia"/>
          <w:color w:val="000000"/>
          <w:kern w:val="0"/>
          <w:sz w:val="24"/>
        </w:rPr>
        <w:t>su</w:t>
      </w:r>
      <w:r>
        <w:rPr>
          <w:rFonts w:ascii="Times New Roman" w:hAnsi="Times New Roman" w:cs="Times New Roman"/>
          <w:color w:val="000000"/>
          <w:kern w:val="0"/>
          <w:sz w:val="24"/>
        </w:rPr>
        <w:t>mmarizes t</w:t>
      </w:r>
      <w:r w:rsidRPr="00072C77">
        <w:rPr>
          <w:rFonts w:ascii="Times New Roman" w:hAnsi="Times New Roman" w:cs="Times New Roman"/>
          <w:color w:val="000000"/>
          <w:kern w:val="0"/>
          <w:sz w:val="24"/>
        </w:rPr>
        <w:t xml:space="preserve">he </w:t>
      </w:r>
      <w:r>
        <w:rPr>
          <w:rFonts w:ascii="Times New Roman" w:hAnsi="Times New Roman" w:cs="Times New Roman"/>
          <w:color w:val="000000"/>
          <w:kern w:val="0"/>
          <w:sz w:val="24"/>
        </w:rPr>
        <w:t xml:space="preserve">ongoing research </w:t>
      </w:r>
      <w:r w:rsidRPr="00072C77">
        <w:rPr>
          <w:rFonts w:ascii="Times New Roman" w:hAnsi="Times New Roman" w:cs="Times New Roman"/>
          <w:color w:val="000000"/>
          <w:kern w:val="0"/>
          <w:sz w:val="24"/>
        </w:rPr>
        <w:t xml:space="preserve">related to the diagnosis of TRALI. The </w:t>
      </w:r>
      <w:r>
        <w:rPr>
          <w:rFonts w:ascii="Times New Roman" w:hAnsi="Times New Roman" w:cs="Times New Roman" w:hint="eastAsia"/>
          <w:color w:val="000000"/>
          <w:kern w:val="0"/>
          <w:sz w:val="24"/>
        </w:rPr>
        <w:t>goal</w:t>
      </w:r>
      <w:r>
        <w:rPr>
          <w:rFonts w:ascii="Times New Roman" w:hAnsi="Times New Roman" w:cs="Times New Roman"/>
          <w:color w:val="000000"/>
          <w:kern w:val="0"/>
          <w:sz w:val="24"/>
        </w:rPr>
        <w:t xml:space="preserve"> </w:t>
      </w:r>
      <w:r w:rsidRPr="00072C77">
        <w:rPr>
          <w:rFonts w:ascii="Times New Roman" w:hAnsi="Times New Roman" w:cs="Times New Roman"/>
          <w:color w:val="000000"/>
          <w:kern w:val="0"/>
          <w:sz w:val="24"/>
        </w:rPr>
        <w:t>of this review is to</w:t>
      </w:r>
      <w:r>
        <w:rPr>
          <w:rFonts w:ascii="Times New Roman" w:hAnsi="Times New Roman" w:cs="Times New Roman"/>
          <w:color w:val="000000"/>
          <w:kern w:val="0"/>
          <w:sz w:val="24"/>
        </w:rPr>
        <w:t xml:space="preserve"> address that develops better diagnostic tools for TRALI is essential</w:t>
      </w:r>
      <w:r w:rsidRPr="00072C77">
        <w:rPr>
          <w:rFonts w:ascii="Times New Roman" w:hAnsi="Times New Roman" w:cs="Times New Roman"/>
          <w:color w:val="000000"/>
          <w:kern w:val="0"/>
          <w:sz w:val="24"/>
        </w:rPr>
        <w:t xml:space="preserve">. </w:t>
      </w:r>
    </w:p>
    <w:p w:rsidR="009C04C5" w:rsidRDefault="009C04C5" w:rsidP="00072C77">
      <w:pPr>
        <w:autoSpaceDE w:val="0"/>
        <w:autoSpaceDN w:val="0"/>
        <w:adjustRightInd w:val="0"/>
        <w:spacing w:line="480" w:lineRule="atLeast"/>
        <w:rPr>
          <w:rFonts w:ascii="Times New Roman" w:hAnsi="Times New Roman" w:cs="Times New Roman"/>
          <w:b/>
          <w:bCs/>
          <w:color w:val="000000"/>
          <w:kern w:val="0"/>
          <w:sz w:val="24"/>
        </w:rPr>
        <w:sectPr w:rsidR="009C04C5" w:rsidSect="00B81532">
          <w:pgSz w:w="11900" w:h="16840"/>
          <w:pgMar w:top="1440" w:right="1800" w:bottom="1440" w:left="1800" w:header="851" w:footer="992" w:gutter="0"/>
          <w:cols w:space="425"/>
          <w:docGrid w:type="lines" w:linePitch="312"/>
        </w:sectPr>
      </w:pPr>
      <w:r w:rsidRPr="00072C77">
        <w:rPr>
          <w:rFonts w:ascii="Times New Roman" w:hAnsi="Times New Roman" w:cs="Times New Roman"/>
          <w:b/>
          <w:bCs/>
          <w:color w:val="000000"/>
          <w:kern w:val="0"/>
          <w:sz w:val="24"/>
        </w:rPr>
        <w:t xml:space="preserve">Keywords: Transfusion-related acute lung injury (TRALI); diagnosis; </w:t>
      </w:r>
      <w:r>
        <w:rPr>
          <w:rFonts w:ascii="Times New Roman" w:hAnsi="Times New Roman" w:cs="Times New Roman"/>
          <w:b/>
          <w:bCs/>
          <w:color w:val="000000"/>
          <w:kern w:val="0"/>
          <w:sz w:val="24"/>
        </w:rPr>
        <w:t>diagnostic tools</w:t>
      </w:r>
      <w:r w:rsidRPr="00072C77">
        <w:rPr>
          <w:rFonts w:ascii="Times New Roman" w:hAnsi="Times New Roman" w:cs="Times New Roman"/>
          <w:b/>
          <w:bCs/>
          <w:color w:val="000000"/>
          <w:kern w:val="0"/>
          <w:sz w:val="24"/>
        </w:rPr>
        <w:t xml:space="preserve">; </w:t>
      </w:r>
    </w:p>
    <w:p w:rsidR="009C04C5" w:rsidRPr="00072C77" w:rsidRDefault="009C04C5" w:rsidP="00072C77">
      <w:pPr>
        <w:autoSpaceDE w:val="0"/>
        <w:autoSpaceDN w:val="0"/>
        <w:adjustRightInd w:val="0"/>
        <w:spacing w:line="480" w:lineRule="atLeast"/>
        <w:rPr>
          <w:rFonts w:ascii="Times New Roman" w:hAnsi="Times New Roman" w:cs="Times New Roman"/>
          <w:color w:val="000000"/>
          <w:kern w:val="0"/>
          <w:sz w:val="24"/>
        </w:rPr>
      </w:pPr>
    </w:p>
    <w:p w:rsidR="009C04C5" w:rsidRPr="0061149B" w:rsidRDefault="009C04C5" w:rsidP="00CE2802">
      <w:pPr>
        <w:spacing w:line="360" w:lineRule="auto"/>
        <w:ind w:firstLineChars="200" w:firstLine="480"/>
        <w:rPr>
          <w:rFonts w:ascii="Times New Roman" w:hAnsi="Times New Roman" w:cs="Times New Roman"/>
          <w:bCs/>
          <w:sz w:val="24"/>
        </w:rPr>
      </w:pPr>
      <w:bookmarkStart w:id="8" w:name="OLE_LINK219"/>
      <w:bookmarkStart w:id="9" w:name="OLE_LINK220"/>
      <w:r>
        <w:rPr>
          <w:rFonts w:ascii="Times New Roman" w:hAnsi="Times New Roman" w:cs="Times New Roman"/>
          <w:bCs/>
          <w:sz w:val="24"/>
        </w:rPr>
        <w:t xml:space="preserve">The main causes of transfusion-associated death are </w:t>
      </w:r>
      <w:r>
        <w:rPr>
          <w:rFonts w:ascii="Times New Roman" w:hAnsi="Times New Roman" w:cs="Times New Roman"/>
          <w:color w:val="000000"/>
          <w:kern w:val="0"/>
          <w:sz w:val="24"/>
        </w:rPr>
        <w:t>t</w:t>
      </w:r>
      <w:r w:rsidRPr="00072C77">
        <w:rPr>
          <w:rFonts w:ascii="Times New Roman" w:hAnsi="Times New Roman" w:cs="Times New Roman"/>
          <w:color w:val="000000"/>
          <w:kern w:val="0"/>
          <w:sz w:val="24"/>
        </w:rPr>
        <w:t xml:space="preserve">ransfusion-related acute lung injury </w:t>
      </w:r>
      <w:r>
        <w:rPr>
          <w:rFonts w:ascii="Times New Roman" w:hAnsi="Times New Roman" w:cs="Times New Roman"/>
          <w:color w:val="000000"/>
          <w:kern w:val="0"/>
          <w:sz w:val="24"/>
        </w:rPr>
        <w:t>(</w:t>
      </w:r>
      <w:r>
        <w:rPr>
          <w:rFonts w:ascii="Times New Roman" w:hAnsi="Times New Roman" w:cs="Times New Roman"/>
          <w:bCs/>
          <w:sz w:val="24"/>
        </w:rPr>
        <w:t xml:space="preserve">TRALI) and transfusion-associated circulatory overload (TACO). These diseases have a similar clinical manifestation, both of which are characterized by acute respiratory distress </w:t>
      </w:r>
      <w:r w:rsidRPr="00CE2802">
        <w:rPr>
          <w:rFonts w:ascii="Times New Roman" w:hAnsi="Times New Roman" w:cs="Times New Roman"/>
          <w:bCs/>
          <w:noProof/>
          <w:sz w:val="24"/>
          <w:vertAlign w:val="superscript"/>
        </w:rPr>
        <w:t>[1]</w:t>
      </w:r>
      <w:r>
        <w:rPr>
          <w:rFonts w:ascii="Times New Roman" w:hAnsi="Times New Roman" w:cs="Times New Roman"/>
          <w:bCs/>
          <w:sz w:val="24"/>
        </w:rPr>
        <w:t xml:space="preserve">. A great challenge that </w:t>
      </w:r>
      <w:bookmarkStart w:id="10" w:name="OLE_LINK221"/>
      <w:bookmarkStart w:id="11" w:name="OLE_LINK222"/>
      <w:r>
        <w:rPr>
          <w:rFonts w:ascii="Times New Roman" w:hAnsi="Times New Roman" w:cs="Times New Roman"/>
          <w:bCs/>
          <w:sz w:val="24"/>
        </w:rPr>
        <w:t>differentiate</w:t>
      </w:r>
      <w:bookmarkEnd w:id="10"/>
      <w:bookmarkEnd w:id="11"/>
      <w:r>
        <w:rPr>
          <w:rFonts w:ascii="Times New Roman" w:hAnsi="Times New Roman" w:cs="Times New Roman"/>
          <w:bCs/>
          <w:sz w:val="24"/>
        </w:rPr>
        <w:t xml:space="preserve">s between TRALI and TACO stands ahead of us due to overlapping symptomatology, as the management differ greatly </w:t>
      </w:r>
      <w:r w:rsidRPr="00CE2802">
        <w:rPr>
          <w:rFonts w:ascii="Times New Roman" w:hAnsi="Times New Roman" w:cs="Times New Roman"/>
          <w:bCs/>
          <w:noProof/>
          <w:sz w:val="24"/>
          <w:vertAlign w:val="superscript"/>
        </w:rPr>
        <w:t>[2]</w:t>
      </w:r>
      <w:r>
        <w:rPr>
          <w:rFonts w:ascii="Times New Roman" w:hAnsi="Times New Roman" w:cs="Times New Roman"/>
          <w:bCs/>
          <w:sz w:val="24"/>
        </w:rPr>
        <w:t xml:space="preserve">. Early detection is helpful to improve clinical outcomes. </w:t>
      </w:r>
      <w:r w:rsidRPr="00F1703C">
        <w:rPr>
          <w:rFonts w:ascii="Times New Roman" w:hAnsi="Times New Roman" w:cs="Times New Roman"/>
          <w:bCs/>
          <w:sz w:val="24"/>
        </w:rPr>
        <w:t xml:space="preserve">It is worthy to note that patients in the </w:t>
      </w:r>
      <w:r>
        <w:rPr>
          <w:rFonts w:ascii="Times New Roman" w:hAnsi="Times New Roman" w:cs="Times New Roman"/>
          <w:bCs/>
          <w:sz w:val="24"/>
        </w:rPr>
        <w:t>ICU</w:t>
      </w:r>
      <w:r w:rsidRPr="00F1703C">
        <w:rPr>
          <w:rFonts w:ascii="Times New Roman" w:hAnsi="Times New Roman" w:cs="Times New Roman"/>
          <w:bCs/>
          <w:sz w:val="24"/>
        </w:rPr>
        <w:t xml:space="preserve"> face at higher risk of transfusion-associated respiratory complications, thus recognizing TRALI from TACO may be challenging</w:t>
      </w:r>
      <w:r>
        <w:rPr>
          <w:rFonts w:ascii="Times New Roman" w:hAnsi="Times New Roman" w:cs="Times New Roman"/>
          <w:bCs/>
          <w:sz w:val="24"/>
        </w:rPr>
        <w:t xml:space="preserve"> </w:t>
      </w:r>
      <w:r w:rsidRPr="00CE2802">
        <w:rPr>
          <w:rFonts w:ascii="Times New Roman" w:hAnsi="Times New Roman" w:cs="Times New Roman"/>
          <w:bCs/>
          <w:noProof/>
          <w:sz w:val="24"/>
          <w:vertAlign w:val="superscript"/>
        </w:rPr>
        <w:t>[3]</w:t>
      </w:r>
      <w:r w:rsidRPr="00F1703C">
        <w:rPr>
          <w:rFonts w:ascii="Times New Roman" w:hAnsi="Times New Roman" w:cs="Times New Roman"/>
          <w:bCs/>
          <w:sz w:val="24"/>
        </w:rPr>
        <w:t xml:space="preserve">. </w:t>
      </w:r>
      <w:r>
        <w:rPr>
          <w:rFonts w:ascii="Times New Roman" w:hAnsi="Times New Roman" w:cs="Times New Roman"/>
          <w:bCs/>
          <w:sz w:val="24"/>
        </w:rPr>
        <w:t xml:space="preserve">Current clinical </w:t>
      </w:r>
      <w:r>
        <w:rPr>
          <w:rFonts w:ascii="Times New Roman" w:hAnsi="Times New Roman" w:cs="Times New Roman" w:hint="eastAsia"/>
          <w:bCs/>
          <w:sz w:val="24"/>
        </w:rPr>
        <w:t>diagnosis</w:t>
      </w:r>
      <w:r>
        <w:rPr>
          <w:rFonts w:ascii="Times New Roman" w:hAnsi="Times New Roman" w:cs="Times New Roman"/>
          <w:bCs/>
          <w:sz w:val="24"/>
        </w:rPr>
        <w:t xml:space="preserve"> still depends on the redefinition of TRALI </w:t>
      </w:r>
      <w:r>
        <w:rPr>
          <w:rFonts w:ascii="Times New Roman" w:hAnsi="Times New Roman" w:cs="Times New Roman" w:hint="eastAsia"/>
          <w:bCs/>
          <w:sz w:val="24"/>
        </w:rPr>
        <w:t>u</w:t>
      </w:r>
      <w:r>
        <w:rPr>
          <w:rFonts w:ascii="Times New Roman" w:hAnsi="Times New Roman" w:cs="Times New Roman"/>
          <w:bCs/>
          <w:sz w:val="24"/>
        </w:rPr>
        <w:t xml:space="preserve">pdated in 2019 and radiological signs, due to </w:t>
      </w:r>
      <w:r w:rsidRPr="00F1641A">
        <w:rPr>
          <w:rFonts w:ascii="Times New Roman" w:hAnsi="Times New Roman" w:cs="Times New Roman"/>
          <w:bCs/>
          <w:sz w:val="24"/>
        </w:rPr>
        <w:t xml:space="preserve">no specific laboratory test </w:t>
      </w:r>
      <w:r>
        <w:rPr>
          <w:rFonts w:ascii="Times New Roman" w:hAnsi="Times New Roman" w:cs="Times New Roman"/>
          <w:bCs/>
          <w:sz w:val="24"/>
        </w:rPr>
        <w:t xml:space="preserve">available </w:t>
      </w:r>
      <w:r w:rsidRPr="00F1641A">
        <w:rPr>
          <w:rFonts w:ascii="Times New Roman" w:hAnsi="Times New Roman" w:cs="Times New Roman"/>
          <w:bCs/>
          <w:sz w:val="24"/>
        </w:rPr>
        <w:t>for diagnose TRALI</w:t>
      </w:r>
      <w:r>
        <w:rPr>
          <w:rFonts w:ascii="Times New Roman" w:hAnsi="Times New Roman" w:cs="Times New Roman"/>
          <w:bCs/>
          <w:sz w:val="24"/>
        </w:rPr>
        <w:t xml:space="preserve">. </w:t>
      </w:r>
      <w:bookmarkStart w:id="12" w:name="OLE_LINK853"/>
      <w:bookmarkStart w:id="13" w:name="OLE_LINK854"/>
      <w:bookmarkStart w:id="14" w:name="OLE_LINK855"/>
      <w:bookmarkStart w:id="15" w:name="OLE_LINK856"/>
      <w:r>
        <w:rPr>
          <w:rFonts w:ascii="Times New Roman" w:hAnsi="Times New Roman" w:cs="Times New Roman"/>
          <w:bCs/>
          <w:sz w:val="24"/>
        </w:rPr>
        <w:t>A</w:t>
      </w:r>
      <w:r w:rsidRPr="0061149B">
        <w:rPr>
          <w:rFonts w:ascii="Times New Roman" w:hAnsi="Times New Roman" w:cs="Times New Roman"/>
          <w:bCs/>
          <w:sz w:val="24"/>
        </w:rPr>
        <w:t>ccurate diagnosis of TRALI</w:t>
      </w:r>
      <w:r w:rsidRPr="0061149B">
        <w:rPr>
          <w:rFonts w:ascii="Times New Roman" w:hAnsi="Times New Roman" w:cs="Times New Roman" w:hint="eastAsia"/>
          <w:bCs/>
          <w:sz w:val="24"/>
        </w:rPr>
        <w:t xml:space="preserve"> </w:t>
      </w:r>
      <w:r>
        <w:rPr>
          <w:rFonts w:ascii="Times New Roman" w:hAnsi="Times New Roman" w:cs="Times New Roman" w:hint="eastAsia"/>
          <w:bCs/>
          <w:sz w:val="24"/>
        </w:rPr>
        <w:t>based</w:t>
      </w:r>
      <w:r>
        <w:rPr>
          <w:rFonts w:ascii="Times New Roman" w:hAnsi="Times New Roman" w:cs="Times New Roman"/>
          <w:bCs/>
          <w:sz w:val="24"/>
        </w:rPr>
        <w:t xml:space="preserve"> </w:t>
      </w:r>
      <w:r>
        <w:rPr>
          <w:rFonts w:ascii="Times New Roman" w:hAnsi="Times New Roman" w:cs="Times New Roman" w:hint="eastAsia"/>
          <w:bCs/>
          <w:sz w:val="24"/>
        </w:rPr>
        <w:t>on</w:t>
      </w:r>
      <w:r w:rsidRPr="0061149B">
        <w:rPr>
          <w:rFonts w:ascii="Times New Roman" w:hAnsi="Times New Roman" w:cs="Times New Roman"/>
          <w:bCs/>
          <w:sz w:val="24"/>
        </w:rPr>
        <w:t xml:space="preserve"> </w:t>
      </w:r>
      <w:r>
        <w:rPr>
          <w:rFonts w:ascii="Times New Roman" w:hAnsi="Times New Roman" w:cs="Times New Roman"/>
          <w:bCs/>
          <w:sz w:val="24"/>
        </w:rPr>
        <w:t>re</w:t>
      </w:r>
      <w:r w:rsidRPr="0061149B">
        <w:rPr>
          <w:rFonts w:ascii="Times New Roman" w:hAnsi="Times New Roman" w:cs="Times New Roman"/>
          <w:bCs/>
          <w:sz w:val="24"/>
        </w:rPr>
        <w:t xml:space="preserve">definitions </w:t>
      </w:r>
      <w:r>
        <w:rPr>
          <w:rFonts w:ascii="Times New Roman" w:hAnsi="Times New Roman" w:cs="Times New Roman" w:hint="eastAsia"/>
          <w:bCs/>
          <w:sz w:val="24"/>
        </w:rPr>
        <w:t>need</w:t>
      </w:r>
      <w:r w:rsidRPr="0061149B">
        <w:rPr>
          <w:rFonts w:ascii="Times New Roman" w:hAnsi="Times New Roman" w:cs="Times New Roman"/>
          <w:bCs/>
          <w:sz w:val="24"/>
        </w:rPr>
        <w:t xml:space="preserve"> to</w:t>
      </w:r>
      <w:r w:rsidRPr="0061149B">
        <w:rPr>
          <w:rFonts w:ascii="Times New Roman" w:hAnsi="Times New Roman" w:cs="Times New Roman" w:hint="eastAsia"/>
          <w:bCs/>
          <w:sz w:val="24"/>
        </w:rPr>
        <w:t xml:space="preserve"> </w:t>
      </w:r>
      <w:r>
        <w:rPr>
          <w:rFonts w:ascii="Times New Roman" w:hAnsi="Times New Roman" w:cs="Times New Roman" w:hint="eastAsia"/>
          <w:bCs/>
          <w:sz w:val="24"/>
        </w:rPr>
        <w:t>recognize</w:t>
      </w:r>
      <w:r w:rsidRPr="0061149B">
        <w:rPr>
          <w:rFonts w:ascii="Times New Roman" w:hAnsi="Times New Roman" w:cs="Times New Roman"/>
          <w:bCs/>
          <w:sz w:val="24"/>
        </w:rPr>
        <w:t xml:space="preserve"> </w:t>
      </w:r>
      <w:r w:rsidR="00D45479">
        <w:rPr>
          <w:rFonts w:ascii="Times New Roman" w:hAnsi="Times New Roman" w:cs="Times New Roman"/>
          <w:bCs/>
          <w:sz w:val="24"/>
        </w:rPr>
        <w:t xml:space="preserve">acute respiratory </w:t>
      </w:r>
      <w:r w:rsidR="000E503A">
        <w:rPr>
          <w:rFonts w:ascii="Times New Roman" w:eastAsia="DengXian" w:hAnsi="Times New Roman" w:cs="Times New Roman"/>
          <w:bCs/>
          <w:sz w:val="24"/>
        </w:rPr>
        <w:t>acute respiratory distress syndrome</w:t>
      </w:r>
      <w:r w:rsidR="000E503A" w:rsidRPr="0061149B">
        <w:rPr>
          <w:rFonts w:ascii="Times New Roman" w:hAnsi="Times New Roman" w:cs="Times New Roman" w:hint="eastAsia"/>
          <w:bCs/>
          <w:sz w:val="24"/>
        </w:rPr>
        <w:t xml:space="preserve"> </w:t>
      </w:r>
      <w:r w:rsidR="000E503A">
        <w:rPr>
          <w:rFonts w:ascii="Times New Roman" w:hAnsi="Times New Roman" w:cs="Times New Roman"/>
          <w:bCs/>
          <w:sz w:val="24"/>
        </w:rPr>
        <w:t>(</w:t>
      </w:r>
      <w:r w:rsidRPr="0061149B">
        <w:rPr>
          <w:rFonts w:ascii="Times New Roman" w:hAnsi="Times New Roman" w:cs="Times New Roman" w:hint="eastAsia"/>
          <w:bCs/>
          <w:sz w:val="24"/>
        </w:rPr>
        <w:t>A</w:t>
      </w:r>
      <w:r w:rsidRPr="0061149B">
        <w:rPr>
          <w:rFonts w:ascii="Times New Roman" w:hAnsi="Times New Roman" w:cs="Times New Roman"/>
          <w:bCs/>
          <w:sz w:val="24"/>
        </w:rPr>
        <w:t>RDS</w:t>
      </w:r>
      <w:r w:rsidR="000E503A">
        <w:rPr>
          <w:rFonts w:ascii="Times New Roman" w:hAnsi="Times New Roman" w:cs="Times New Roman"/>
          <w:bCs/>
          <w:sz w:val="24"/>
        </w:rPr>
        <w:t>)</w:t>
      </w:r>
      <w:r w:rsidRPr="0061149B">
        <w:rPr>
          <w:rFonts w:ascii="Times New Roman" w:hAnsi="Times New Roman" w:cs="Times New Roman"/>
          <w:bCs/>
          <w:sz w:val="24"/>
        </w:rPr>
        <w:t xml:space="preserve"> risk factors, distinguish </w:t>
      </w:r>
      <w:r>
        <w:rPr>
          <w:rFonts w:ascii="Times New Roman" w:hAnsi="Times New Roman" w:cs="Times New Roman" w:hint="eastAsia"/>
          <w:bCs/>
          <w:sz w:val="24"/>
        </w:rPr>
        <w:t>the</w:t>
      </w:r>
      <w:r>
        <w:rPr>
          <w:rFonts w:ascii="Times New Roman" w:hAnsi="Times New Roman" w:cs="Times New Roman"/>
          <w:bCs/>
          <w:sz w:val="24"/>
        </w:rPr>
        <w:t xml:space="preserve"> characteristics</w:t>
      </w:r>
      <w:r w:rsidRPr="0061149B">
        <w:rPr>
          <w:rFonts w:ascii="Times New Roman" w:hAnsi="Times New Roman" w:cs="Times New Roman"/>
          <w:bCs/>
          <w:sz w:val="24"/>
        </w:rPr>
        <w:t xml:space="preserve"> of </w:t>
      </w:r>
      <w:r w:rsidRPr="0061149B">
        <w:rPr>
          <w:rFonts w:ascii="Times New Roman" w:hAnsi="Times New Roman" w:cs="Times New Roman" w:hint="eastAsia"/>
          <w:bCs/>
          <w:sz w:val="24"/>
        </w:rPr>
        <w:t>p</w:t>
      </w:r>
      <w:r w:rsidRPr="0061149B">
        <w:rPr>
          <w:rFonts w:ascii="Times New Roman" w:hAnsi="Times New Roman" w:cs="Times New Roman"/>
          <w:bCs/>
          <w:sz w:val="24"/>
        </w:rPr>
        <w:t xml:space="preserve">ulmonary edema, and </w:t>
      </w:r>
      <w:r w:rsidRPr="0061149B">
        <w:rPr>
          <w:rFonts w:ascii="Times New Roman" w:hAnsi="Times New Roman" w:cs="Times New Roman" w:hint="eastAsia"/>
          <w:bCs/>
          <w:sz w:val="24"/>
        </w:rPr>
        <w:t>evaluate</w:t>
      </w:r>
      <w:r w:rsidRPr="0061149B">
        <w:rPr>
          <w:rFonts w:ascii="Times New Roman" w:hAnsi="Times New Roman" w:cs="Times New Roman"/>
          <w:bCs/>
          <w:sz w:val="24"/>
        </w:rPr>
        <w:t xml:space="preserve"> whether pulmonary statues </w:t>
      </w:r>
      <w:r>
        <w:rPr>
          <w:rFonts w:ascii="Times New Roman" w:hAnsi="Times New Roman" w:cs="Times New Roman"/>
          <w:bCs/>
          <w:sz w:val="24"/>
        </w:rPr>
        <w:t>are</w:t>
      </w:r>
      <w:r w:rsidRPr="0061149B">
        <w:rPr>
          <w:rFonts w:ascii="Times New Roman" w:hAnsi="Times New Roman" w:cs="Times New Roman"/>
          <w:bCs/>
          <w:sz w:val="24"/>
        </w:rPr>
        <w:t xml:space="preserve"> stable within 12 hours</w:t>
      </w:r>
      <w:r w:rsidRPr="0061149B">
        <w:rPr>
          <w:rFonts w:ascii="Times New Roman" w:hAnsi="Times New Roman" w:cs="Times New Roman" w:hint="eastAsia"/>
          <w:bCs/>
          <w:sz w:val="24"/>
        </w:rPr>
        <w:t xml:space="preserve"> </w:t>
      </w:r>
      <w:r w:rsidRPr="0061149B">
        <w:rPr>
          <w:rFonts w:ascii="Times New Roman" w:hAnsi="Times New Roman" w:cs="Times New Roman"/>
          <w:bCs/>
          <w:sz w:val="24"/>
        </w:rPr>
        <w:t>before transfusion of blood components in patient</w:t>
      </w:r>
      <w:r>
        <w:rPr>
          <w:rFonts w:ascii="Times New Roman" w:hAnsi="Times New Roman" w:cs="Times New Roman"/>
          <w:bCs/>
          <w:sz w:val="24"/>
        </w:rPr>
        <w:t>s</w:t>
      </w:r>
      <w:r w:rsidRPr="0061149B">
        <w:rPr>
          <w:rFonts w:ascii="Times New Roman" w:hAnsi="Times New Roman" w:cs="Times New Roman"/>
          <w:bCs/>
          <w:sz w:val="24"/>
        </w:rPr>
        <w:t xml:space="preserve"> with ARDS</w:t>
      </w:r>
      <w:r w:rsidRPr="0061149B">
        <w:rPr>
          <w:rFonts w:ascii="Times New Roman" w:hAnsi="Times New Roman" w:cs="Times New Roman" w:hint="eastAsia"/>
          <w:bCs/>
          <w:sz w:val="24"/>
        </w:rPr>
        <w:t xml:space="preserve"> </w:t>
      </w:r>
      <w:r w:rsidRPr="0061149B">
        <w:rPr>
          <w:rFonts w:ascii="Times New Roman" w:hAnsi="Times New Roman" w:cs="Times New Roman"/>
          <w:bCs/>
          <w:sz w:val="24"/>
        </w:rPr>
        <w:t>risk factors</w:t>
      </w:r>
      <w:bookmarkEnd w:id="12"/>
      <w:bookmarkEnd w:id="13"/>
      <w:bookmarkEnd w:id="14"/>
      <w:bookmarkEnd w:id="15"/>
      <w:r>
        <w:rPr>
          <w:rFonts w:ascii="Times New Roman" w:hAnsi="Times New Roman" w:cs="Times New Roman"/>
          <w:bCs/>
          <w:sz w:val="24"/>
        </w:rPr>
        <w:t xml:space="preserve"> </w:t>
      </w:r>
      <w:r w:rsidRPr="00CE2802">
        <w:rPr>
          <w:rFonts w:ascii="Times New Roman" w:hAnsi="Times New Roman" w:cs="Times New Roman"/>
          <w:bCs/>
          <w:noProof/>
          <w:sz w:val="24"/>
          <w:vertAlign w:val="superscript"/>
        </w:rPr>
        <w:t>[4]</w:t>
      </w:r>
      <w:r w:rsidRPr="0061149B">
        <w:rPr>
          <w:rFonts w:ascii="Times New Roman" w:hAnsi="Times New Roman" w:cs="Times New Roman"/>
          <w:bCs/>
          <w:sz w:val="24"/>
        </w:rPr>
        <w:t xml:space="preserve">. </w:t>
      </w:r>
      <w:r>
        <w:rPr>
          <w:rFonts w:ascii="Times New Roman" w:hAnsi="Times New Roman" w:cs="Times New Roman"/>
          <w:bCs/>
          <w:sz w:val="24"/>
        </w:rPr>
        <w:t xml:space="preserve">The main diagnostic criteria </w:t>
      </w:r>
      <w:bookmarkStart w:id="16" w:name="OLE_LINK223"/>
      <w:bookmarkStart w:id="17" w:name="OLE_LINK224"/>
      <w:r>
        <w:rPr>
          <w:rFonts w:ascii="Times New Roman" w:hAnsi="Times New Roman" w:cs="Times New Roman"/>
          <w:bCs/>
          <w:sz w:val="24"/>
        </w:rPr>
        <w:t xml:space="preserve">of TRALI </w:t>
      </w:r>
      <w:r>
        <w:rPr>
          <w:rFonts w:ascii="Times New Roman" w:hAnsi="Times New Roman" w:cs="Times New Roman" w:hint="eastAsia"/>
          <w:bCs/>
          <w:sz w:val="24"/>
        </w:rPr>
        <w:t>m</w:t>
      </w:r>
      <w:r>
        <w:rPr>
          <w:rFonts w:ascii="Times New Roman" w:hAnsi="Times New Roman" w:cs="Times New Roman"/>
          <w:bCs/>
          <w:sz w:val="24"/>
        </w:rPr>
        <w:t>eet</w:t>
      </w:r>
      <w:bookmarkEnd w:id="16"/>
      <w:bookmarkEnd w:id="17"/>
      <w:r>
        <w:rPr>
          <w:rFonts w:ascii="Times New Roman" w:hAnsi="Times New Roman" w:cs="Times New Roman"/>
          <w:bCs/>
          <w:sz w:val="24"/>
        </w:rPr>
        <w:t xml:space="preserve">s acute onset </w:t>
      </w:r>
      <w:r w:rsidRPr="00F1703C">
        <w:rPr>
          <w:rFonts w:ascii="Times New Roman" w:hAnsi="Times New Roman" w:cs="Times New Roman"/>
          <w:bCs/>
          <w:sz w:val="24"/>
        </w:rPr>
        <w:t>within 6 hou</w:t>
      </w:r>
      <w:r w:rsidRPr="00D731FD">
        <w:rPr>
          <w:rFonts w:ascii="Times New Roman" w:hAnsi="Times New Roman" w:cs="Times New Roman"/>
          <w:bCs/>
          <w:sz w:val="24"/>
        </w:rPr>
        <w:t>rs,</w:t>
      </w:r>
      <w:r>
        <w:rPr>
          <w:rFonts w:ascii="Times New Roman" w:hAnsi="Times New Roman" w:cs="Times New Roman"/>
          <w:bCs/>
          <w:sz w:val="24"/>
        </w:rPr>
        <w:t xml:space="preserve"> hypoxemia</w:t>
      </w:r>
      <w:r w:rsidRPr="00F076A9">
        <w:rPr>
          <w:rFonts w:ascii="Times New Roman" w:hAnsi="Times New Roman" w:cs="Times New Roman"/>
          <w:bCs/>
          <w:sz w:val="24"/>
        </w:rPr>
        <w:t xml:space="preserve"> (PaO2/FiO2 ≤300 mmHg* or SpO2 &lt;90% on room air)</w:t>
      </w:r>
      <w:r>
        <w:rPr>
          <w:rFonts w:ascii="Times New Roman" w:hAnsi="Times New Roman" w:cs="Times New Roman"/>
          <w:bCs/>
          <w:sz w:val="24"/>
        </w:rPr>
        <w:t xml:space="preserve">, diffuse bilateral infiltrates without pleural fluid </w:t>
      </w:r>
      <w:r w:rsidRPr="00F076A9">
        <w:rPr>
          <w:rFonts w:ascii="Times New Roman" w:hAnsi="Times New Roman" w:cs="Times New Roman"/>
          <w:bCs/>
          <w:sz w:val="24"/>
        </w:rPr>
        <w:t xml:space="preserve">on </w:t>
      </w:r>
      <w:r>
        <w:rPr>
          <w:rFonts w:ascii="Times New Roman" w:hAnsi="Times New Roman" w:cs="Times New Roman"/>
          <w:bCs/>
          <w:sz w:val="24"/>
        </w:rPr>
        <w:t xml:space="preserve">chest </w:t>
      </w:r>
      <w:r w:rsidRPr="00F076A9">
        <w:rPr>
          <w:rFonts w:ascii="Times New Roman" w:hAnsi="Times New Roman" w:cs="Times New Roman"/>
          <w:bCs/>
          <w:sz w:val="24"/>
        </w:rPr>
        <w:t>imaging,</w:t>
      </w:r>
      <w:r>
        <w:rPr>
          <w:rFonts w:ascii="Times New Roman" w:hAnsi="Times New Roman" w:cs="Times New Roman"/>
          <w:bCs/>
          <w:sz w:val="24"/>
        </w:rPr>
        <w:t xml:space="preserve"> and</w:t>
      </w:r>
      <w:r w:rsidRPr="00F076A9">
        <w:rPr>
          <w:rFonts w:ascii="Times New Roman" w:hAnsi="Times New Roman" w:cs="Times New Roman"/>
          <w:bCs/>
          <w:sz w:val="24"/>
        </w:rPr>
        <w:t xml:space="preserve"> no evidence of left atrial hypertension</w:t>
      </w:r>
      <w:r>
        <w:rPr>
          <w:rFonts w:ascii="Times New Roman" w:hAnsi="Times New Roman" w:cs="Times New Roman"/>
          <w:bCs/>
          <w:sz w:val="24"/>
        </w:rPr>
        <w:t xml:space="preserve"> </w:t>
      </w:r>
      <w:r w:rsidRPr="00CE2802">
        <w:rPr>
          <w:rFonts w:ascii="Times New Roman" w:hAnsi="Times New Roman" w:cs="Times New Roman"/>
          <w:bCs/>
          <w:noProof/>
          <w:sz w:val="24"/>
          <w:vertAlign w:val="superscript"/>
        </w:rPr>
        <w:t>[2, 5]</w:t>
      </w:r>
      <w:r>
        <w:rPr>
          <w:rFonts w:ascii="Times New Roman" w:hAnsi="Times New Roman" w:cs="Times New Roman"/>
          <w:bCs/>
          <w:sz w:val="24"/>
        </w:rPr>
        <w:t xml:space="preserve">. </w:t>
      </w:r>
    </w:p>
    <w:bookmarkEnd w:id="8"/>
    <w:bookmarkEnd w:id="9"/>
    <w:p w:rsidR="009C04C5" w:rsidRDefault="009C04C5" w:rsidP="00CE2802">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Although no specific </w:t>
      </w:r>
      <w:r>
        <w:rPr>
          <w:rFonts w:ascii="Times New Roman" w:hAnsi="Times New Roman" w:cs="Times New Roman" w:hint="eastAsia"/>
          <w:sz w:val="24"/>
        </w:rPr>
        <w:t>l</w:t>
      </w:r>
      <w:r>
        <w:rPr>
          <w:rFonts w:ascii="Times New Roman" w:hAnsi="Times New Roman" w:cs="Times New Roman"/>
          <w:sz w:val="24"/>
        </w:rPr>
        <w:t xml:space="preserve">aboratory tests are available to clearly </w:t>
      </w:r>
      <w:r w:rsidRPr="00B3244E">
        <w:rPr>
          <w:rFonts w:ascii="Times New Roman" w:hAnsi="Times New Roman" w:cs="Times New Roman"/>
          <w:sz w:val="24"/>
        </w:rPr>
        <w:t xml:space="preserve">distinguish </w:t>
      </w:r>
      <w:r>
        <w:rPr>
          <w:rFonts w:ascii="Times New Roman" w:hAnsi="Times New Roman" w:cs="Times New Roman"/>
          <w:sz w:val="24"/>
        </w:rPr>
        <w:t>TRALI</w:t>
      </w:r>
      <w:r w:rsidRPr="00B3244E">
        <w:rPr>
          <w:rFonts w:ascii="Times New Roman" w:hAnsi="Times New Roman" w:cs="Times New Roman"/>
          <w:sz w:val="24"/>
        </w:rPr>
        <w:t xml:space="preserve"> from T</w:t>
      </w:r>
      <w:r>
        <w:rPr>
          <w:rFonts w:ascii="Times New Roman" w:hAnsi="Times New Roman" w:cs="Times New Roman"/>
          <w:sz w:val="24"/>
        </w:rPr>
        <w:t xml:space="preserve">ACO, progress has been made on this issue. </w:t>
      </w:r>
      <w:proofErr w:type="spellStart"/>
      <w:r>
        <w:rPr>
          <w:rFonts w:ascii="Times New Roman" w:hAnsi="Times New Roman" w:cs="Times New Roman"/>
          <w:sz w:val="24"/>
        </w:rPr>
        <w:t>Roubinian</w:t>
      </w:r>
      <w:proofErr w:type="spellEnd"/>
      <w:r>
        <w:rPr>
          <w:rFonts w:ascii="Times New Roman" w:hAnsi="Times New Roman" w:cs="Times New Roman"/>
          <w:sz w:val="24"/>
        </w:rPr>
        <w:t xml:space="preserve"> et al. </w:t>
      </w:r>
      <w:r w:rsidRPr="00CE2802">
        <w:rPr>
          <w:rFonts w:ascii="Times New Roman" w:hAnsi="Times New Roman" w:cs="Times New Roman"/>
          <w:noProof/>
          <w:sz w:val="24"/>
          <w:vertAlign w:val="superscript"/>
        </w:rPr>
        <w:t>[6]</w:t>
      </w:r>
      <w:r>
        <w:rPr>
          <w:rFonts w:ascii="Times New Roman" w:hAnsi="Times New Roman" w:cs="Times New Roman"/>
          <w:sz w:val="24"/>
        </w:rPr>
        <w:t xml:space="preserve">, in a case-control study, discovered that BNP levels higher than 1000 </w:t>
      </w:r>
      <w:proofErr w:type="spellStart"/>
      <w:r>
        <w:rPr>
          <w:rFonts w:ascii="Times New Roman" w:hAnsi="Times New Roman" w:cs="Times New Roman"/>
          <w:sz w:val="24"/>
        </w:rPr>
        <w:t>pg</w:t>
      </w:r>
      <w:proofErr w:type="spellEnd"/>
      <w:r>
        <w:rPr>
          <w:rFonts w:ascii="Times New Roman" w:hAnsi="Times New Roman" w:cs="Times New Roman"/>
          <w:sz w:val="24"/>
        </w:rPr>
        <w:t>/</w:t>
      </w:r>
      <w:r>
        <w:rPr>
          <w:rFonts w:ascii="Times New Roman" w:hAnsi="Times New Roman" w:cs="Times New Roman" w:hint="eastAsia"/>
          <w:sz w:val="24"/>
        </w:rPr>
        <w:t>m</w:t>
      </w:r>
      <w:r>
        <w:rPr>
          <w:rFonts w:ascii="Times New Roman" w:hAnsi="Times New Roman" w:cs="Times New Roman"/>
          <w:sz w:val="24"/>
        </w:rPr>
        <w:t>L</w:t>
      </w:r>
      <w:r>
        <w:rPr>
          <w:rFonts w:ascii="Times New Roman" w:hAnsi="Times New Roman" w:cs="Times New Roman" w:hint="eastAsia"/>
          <w:sz w:val="24"/>
        </w:rPr>
        <w:t xml:space="preserve"> </w:t>
      </w:r>
      <w:r>
        <w:rPr>
          <w:rFonts w:ascii="Times New Roman" w:hAnsi="Times New Roman" w:cs="Times New Roman"/>
          <w:sz w:val="24"/>
        </w:rPr>
        <w:t xml:space="preserve">occurred in TACO patients </w:t>
      </w:r>
      <w:r>
        <w:rPr>
          <w:rFonts w:ascii="Times New Roman" w:hAnsi="Times New Roman" w:cs="Times New Roman" w:hint="eastAsia"/>
          <w:sz w:val="24"/>
        </w:rPr>
        <w:t>i</w:t>
      </w:r>
      <w:r>
        <w:rPr>
          <w:rFonts w:ascii="Times New Roman" w:hAnsi="Times New Roman" w:cs="Times New Roman"/>
          <w:sz w:val="24"/>
        </w:rPr>
        <w:t xml:space="preserve">n age older than 70 years. Both BNP and </w:t>
      </w:r>
      <w:bookmarkStart w:id="18" w:name="_GoBack"/>
      <w:bookmarkEnd w:id="18"/>
      <w:r>
        <w:rPr>
          <w:rFonts w:ascii="Times New Roman" w:hAnsi="Times New Roman" w:cs="Times New Roman"/>
          <w:sz w:val="24"/>
        </w:rPr>
        <w:t xml:space="preserve">pro-BNP in plasma were confirmed to be positively related to TACO patients </w:t>
      </w:r>
      <w:r w:rsidRPr="00CE2802">
        <w:rPr>
          <w:rFonts w:ascii="Times New Roman" w:hAnsi="Times New Roman" w:cs="Times New Roman"/>
          <w:noProof/>
          <w:sz w:val="24"/>
          <w:vertAlign w:val="superscript"/>
        </w:rPr>
        <w:t>[3, 7-9]</w:t>
      </w:r>
      <w:r>
        <w:rPr>
          <w:rFonts w:ascii="Times New Roman" w:hAnsi="Times New Roman" w:cs="Times New Roman"/>
          <w:sz w:val="24"/>
        </w:rPr>
        <w:t xml:space="preserve">. Additionally, analysis of cytokines may further </w:t>
      </w:r>
      <w:r>
        <w:rPr>
          <w:rFonts w:ascii="Times New Roman" w:hAnsi="Times New Roman" w:cs="Times New Roman" w:hint="eastAsia"/>
          <w:sz w:val="24"/>
        </w:rPr>
        <w:t>assist</w:t>
      </w:r>
      <w:r>
        <w:rPr>
          <w:rFonts w:ascii="Times New Roman" w:hAnsi="Times New Roman" w:cs="Times New Roman"/>
          <w:sz w:val="24"/>
        </w:rPr>
        <w:t xml:space="preserve"> to differentiate between TRALI and TACO. S</w:t>
      </w:r>
      <w:r>
        <w:rPr>
          <w:rFonts w:ascii="Times New Roman" w:hAnsi="Times New Roman" w:cs="Times New Roman" w:hint="eastAsia"/>
          <w:sz w:val="24"/>
        </w:rPr>
        <w:t>emple</w:t>
      </w:r>
      <w:r>
        <w:rPr>
          <w:rFonts w:ascii="Times New Roman" w:hAnsi="Times New Roman" w:cs="Times New Roman"/>
          <w:sz w:val="24"/>
        </w:rPr>
        <w:t xml:space="preserve"> </w:t>
      </w:r>
      <w:r>
        <w:rPr>
          <w:rFonts w:ascii="Times New Roman" w:hAnsi="Times New Roman" w:cs="Times New Roman" w:hint="eastAsia"/>
          <w:sz w:val="24"/>
        </w:rPr>
        <w:t>et</w:t>
      </w:r>
      <w:r>
        <w:rPr>
          <w:rFonts w:ascii="Times New Roman" w:hAnsi="Times New Roman" w:cs="Times New Roman"/>
          <w:sz w:val="24"/>
        </w:rPr>
        <w:t xml:space="preserve"> </w:t>
      </w:r>
      <w:r>
        <w:rPr>
          <w:rFonts w:ascii="Times New Roman" w:hAnsi="Times New Roman" w:cs="Times New Roman" w:hint="eastAsia"/>
          <w:sz w:val="24"/>
        </w:rPr>
        <w:t>al</w:t>
      </w:r>
      <w:r>
        <w:rPr>
          <w:rFonts w:ascii="Times New Roman" w:hAnsi="Times New Roman" w:cs="Times New Roman"/>
          <w:sz w:val="24"/>
        </w:rPr>
        <w:t xml:space="preserve">. </w:t>
      </w:r>
      <w:r w:rsidRPr="00CE2802">
        <w:rPr>
          <w:rFonts w:ascii="Times New Roman" w:hAnsi="Times New Roman" w:cs="Times New Roman"/>
          <w:noProof/>
          <w:sz w:val="24"/>
          <w:vertAlign w:val="superscript"/>
        </w:rPr>
        <w:t>[7]</w:t>
      </w:r>
      <w:r>
        <w:rPr>
          <w:rFonts w:ascii="Times New Roman" w:hAnsi="Times New Roman" w:cs="Times New Roman"/>
          <w:sz w:val="24"/>
        </w:rPr>
        <w:t xml:space="preserve"> demonstrated </w:t>
      </w:r>
      <w:r w:rsidRPr="00610F5D">
        <w:rPr>
          <w:rFonts w:ascii="Times New Roman" w:hAnsi="Times New Roman" w:cs="Times New Roman"/>
          <w:sz w:val="24"/>
        </w:rPr>
        <w:t>combining decreased IL-8 levels with increased IL-10 levels may potentially support a diagnosis of TACO, whereas elevated IL-8 levels in combination with low IL-10 levels may potentially help in the diagnosis of TRALI</w:t>
      </w:r>
      <w:r w:rsidRPr="005208E1">
        <w:rPr>
          <w:rFonts w:ascii="Times New Roman" w:hAnsi="Times New Roman" w:cs="Times New Roman"/>
          <w:sz w:val="24"/>
        </w:rPr>
        <w:t>.</w:t>
      </w:r>
      <w:r w:rsidRPr="00270270">
        <w:rPr>
          <w:rFonts w:ascii="Times New Roman" w:hAnsi="Times New Roman" w:cs="Times New Roman"/>
          <w:sz w:val="24"/>
        </w:rPr>
        <w:t xml:space="preserve"> </w:t>
      </w:r>
      <w:r>
        <w:rPr>
          <w:rFonts w:ascii="Times New Roman" w:hAnsi="Times New Roman" w:cs="Times New Roman"/>
          <w:sz w:val="24"/>
        </w:rPr>
        <w:t>Similarity, a</w:t>
      </w:r>
      <w:r w:rsidRPr="0067016D">
        <w:rPr>
          <w:rFonts w:ascii="Times New Roman" w:hAnsi="Times New Roman" w:cs="Times New Roman"/>
          <w:sz w:val="24"/>
        </w:rPr>
        <w:t xml:space="preserve"> recent clinical study showed that IL-10 levels contributed to </w:t>
      </w:r>
      <w:r>
        <w:rPr>
          <w:rFonts w:ascii="Times New Roman" w:hAnsi="Times New Roman" w:cs="Times New Roman"/>
          <w:sz w:val="24"/>
        </w:rPr>
        <w:t xml:space="preserve">the </w:t>
      </w:r>
      <w:r w:rsidRPr="0067016D">
        <w:rPr>
          <w:rFonts w:ascii="Times New Roman" w:hAnsi="Times New Roman" w:cs="Times New Roman"/>
          <w:sz w:val="24"/>
        </w:rPr>
        <w:t>evaluat</w:t>
      </w:r>
      <w:r>
        <w:rPr>
          <w:rFonts w:ascii="Times New Roman" w:hAnsi="Times New Roman" w:cs="Times New Roman"/>
          <w:sz w:val="24"/>
        </w:rPr>
        <w:t>ion of</w:t>
      </w:r>
      <w:r w:rsidRPr="0067016D">
        <w:rPr>
          <w:rFonts w:ascii="Times New Roman" w:hAnsi="Times New Roman" w:cs="Times New Roman"/>
          <w:sz w:val="24"/>
        </w:rPr>
        <w:t xml:space="preserve"> outcomes </w:t>
      </w:r>
      <w:r>
        <w:rPr>
          <w:rFonts w:ascii="Times New Roman" w:hAnsi="Times New Roman" w:cs="Times New Roman"/>
          <w:sz w:val="24"/>
        </w:rPr>
        <w:t>in</w:t>
      </w:r>
      <w:r w:rsidRPr="0067016D">
        <w:rPr>
          <w:rFonts w:ascii="Times New Roman" w:hAnsi="Times New Roman" w:cs="Times New Roman"/>
          <w:sz w:val="24"/>
        </w:rPr>
        <w:t xml:space="preserve"> TRALI patients </w:t>
      </w:r>
      <w:r w:rsidRPr="00CE2802">
        <w:rPr>
          <w:rFonts w:ascii="Times New Roman" w:hAnsi="Times New Roman" w:cs="Times New Roman"/>
          <w:noProof/>
          <w:sz w:val="24"/>
          <w:vertAlign w:val="superscript"/>
        </w:rPr>
        <w:t>[10]</w:t>
      </w:r>
      <w:r w:rsidRPr="0067016D">
        <w:rPr>
          <w:rFonts w:ascii="Times New Roman" w:hAnsi="Times New Roman" w:cs="Times New Roman"/>
          <w:sz w:val="24"/>
        </w:rPr>
        <w:t xml:space="preserve">. </w:t>
      </w:r>
      <w:r>
        <w:rPr>
          <w:rFonts w:ascii="Times New Roman" w:hAnsi="Times New Roman" w:cs="Times New Roman"/>
          <w:sz w:val="24"/>
        </w:rPr>
        <w:t xml:space="preserve">However, a systematic review revealed that serologic cytokine profiles still lacked a definite diagnostic capacity to distinguish TRALI from TACO </w:t>
      </w:r>
      <w:r w:rsidRPr="00CE2802">
        <w:rPr>
          <w:rFonts w:ascii="Times New Roman" w:hAnsi="Times New Roman" w:cs="Times New Roman"/>
          <w:noProof/>
          <w:sz w:val="24"/>
          <w:vertAlign w:val="superscript"/>
        </w:rPr>
        <w:t>[8]</w:t>
      </w:r>
      <w:r>
        <w:rPr>
          <w:rFonts w:ascii="Times New Roman" w:hAnsi="Times New Roman" w:cs="Times New Roman"/>
          <w:sz w:val="24"/>
        </w:rPr>
        <w:t xml:space="preserve">. Whether </w:t>
      </w:r>
      <w:r>
        <w:rPr>
          <w:rFonts w:ascii="Times New Roman" w:hAnsi="Times New Roman" w:cs="Times New Roman" w:hint="eastAsia"/>
          <w:sz w:val="24"/>
        </w:rPr>
        <w:t>t</w:t>
      </w:r>
      <w:r>
        <w:rPr>
          <w:rFonts w:ascii="Times New Roman" w:hAnsi="Times New Roman" w:cs="Times New Roman"/>
          <w:sz w:val="24"/>
        </w:rPr>
        <w:t>hese cytokines profiles have</w:t>
      </w:r>
      <w:r>
        <w:rPr>
          <w:rFonts w:ascii="Times New Roman" w:hAnsi="Times New Roman" w:cs="Times New Roman" w:hint="eastAsia"/>
          <w:sz w:val="24"/>
        </w:rPr>
        <w:t xml:space="preserve"> </w:t>
      </w:r>
      <w:r>
        <w:rPr>
          <w:rFonts w:ascii="Times New Roman" w:hAnsi="Times New Roman" w:cs="Times New Roman"/>
          <w:sz w:val="24"/>
        </w:rPr>
        <w:t>diagnostic value in TRALI and TACO requires further validation in larger population-based studies.</w:t>
      </w:r>
      <w:bookmarkStart w:id="19" w:name="OLE_LINK235"/>
      <w:bookmarkStart w:id="20" w:name="OLE_LINK236"/>
      <w:bookmarkStart w:id="21" w:name="OLE_LINK233"/>
      <w:bookmarkStart w:id="22" w:name="OLE_LINK234"/>
      <w:r>
        <w:rPr>
          <w:rFonts w:ascii="Times New Roman" w:hAnsi="Times New Roman" w:cs="Times New Roman"/>
          <w:sz w:val="24"/>
        </w:rPr>
        <w:t xml:space="preserve"> </w:t>
      </w:r>
      <w:bookmarkEnd w:id="19"/>
      <w:bookmarkEnd w:id="20"/>
      <w:bookmarkEnd w:id="21"/>
      <w:bookmarkEnd w:id="22"/>
    </w:p>
    <w:p w:rsidR="009C04C5" w:rsidRDefault="009C04C5" w:rsidP="00CE2802">
      <w:pPr>
        <w:spacing w:line="360" w:lineRule="auto"/>
        <w:ind w:firstLineChars="200" w:firstLine="480"/>
        <w:rPr>
          <w:rFonts w:ascii="Times New Roman" w:hAnsi="Times New Roman" w:cs="Times New Roman"/>
          <w:sz w:val="24"/>
        </w:rPr>
      </w:pPr>
      <w:r>
        <w:rPr>
          <w:rFonts w:ascii="Times New Roman" w:hAnsi="Times New Roman" w:cs="Times New Roman"/>
          <w:sz w:val="24"/>
        </w:rPr>
        <w:lastRenderedPageBreak/>
        <w:t xml:space="preserve">As for antibody-mediated TRALI, </w:t>
      </w:r>
      <w:r>
        <w:rPr>
          <w:rFonts w:ascii="Times New Roman" w:hAnsi="Times New Roman" w:cs="Times New Roman" w:hint="eastAsia"/>
          <w:sz w:val="24"/>
        </w:rPr>
        <w:t>con</w:t>
      </w:r>
      <w:r>
        <w:rPr>
          <w:rFonts w:ascii="Times New Roman" w:hAnsi="Times New Roman" w:cs="Times New Roman"/>
          <w:sz w:val="24"/>
        </w:rPr>
        <w:t>firmed diagnoses are established once antibo</w:t>
      </w:r>
      <w:r>
        <w:rPr>
          <w:rFonts w:ascii="Times New Roman" w:hAnsi="Times New Roman" w:cs="Times New Roman" w:hint="eastAsia"/>
          <w:sz w:val="24"/>
        </w:rPr>
        <w:t>d</w:t>
      </w:r>
      <w:r>
        <w:rPr>
          <w:rFonts w:ascii="Times New Roman" w:hAnsi="Times New Roman" w:cs="Times New Roman"/>
          <w:sz w:val="24"/>
        </w:rPr>
        <w:t xml:space="preserve">ies are detected in donors. Several detection technologies are available for testing </w:t>
      </w:r>
      <w:r w:rsidR="000A3782">
        <w:rPr>
          <w:rFonts w:ascii="Times New Roman" w:hAnsi="Times New Roman" w:cs="Times New Roman"/>
          <w:bCs/>
          <w:sz w:val="24"/>
        </w:rPr>
        <w:t>anti -</w:t>
      </w:r>
      <w:r w:rsidR="000A3782">
        <w:rPr>
          <w:rFonts w:ascii="Times New Roman" w:hAnsi="Times New Roman" w:cs="Times New Roman" w:hint="eastAsia"/>
          <w:bCs/>
          <w:sz w:val="24"/>
        </w:rPr>
        <w:t>hum</w:t>
      </w:r>
      <w:r w:rsidR="000A3782">
        <w:rPr>
          <w:rFonts w:ascii="Times New Roman" w:hAnsi="Times New Roman" w:cs="Times New Roman"/>
          <w:bCs/>
          <w:sz w:val="24"/>
        </w:rPr>
        <w:t>an leukocyte antigen</w:t>
      </w:r>
      <w:r w:rsidR="000A3782">
        <w:rPr>
          <w:rFonts w:ascii="Times New Roman" w:hAnsi="Times New Roman" w:cs="Times New Roman"/>
          <w:sz w:val="24"/>
        </w:rPr>
        <w:t xml:space="preserve"> (</w:t>
      </w:r>
      <w:r>
        <w:rPr>
          <w:rFonts w:ascii="Times New Roman" w:hAnsi="Times New Roman" w:cs="Times New Roman"/>
          <w:sz w:val="24"/>
        </w:rPr>
        <w:t>HLA</w:t>
      </w:r>
      <w:r w:rsidR="000A3782">
        <w:rPr>
          <w:rFonts w:ascii="Times New Roman" w:hAnsi="Times New Roman" w:cs="Times New Roman"/>
          <w:sz w:val="24"/>
        </w:rPr>
        <w:t>)</w:t>
      </w:r>
      <w:r>
        <w:rPr>
          <w:rFonts w:ascii="Times New Roman" w:hAnsi="Times New Roman" w:cs="Times New Roman"/>
          <w:sz w:val="24"/>
        </w:rPr>
        <w:t xml:space="preserve"> and </w:t>
      </w:r>
      <w:r w:rsidR="000A3782">
        <w:rPr>
          <w:rFonts w:ascii="Times New Roman" w:hAnsi="Times New Roman" w:cs="Times New Roman"/>
          <w:bCs/>
          <w:sz w:val="24"/>
        </w:rPr>
        <w:t>anti-human neutrophil antigen</w:t>
      </w:r>
      <w:r w:rsidR="000A3782">
        <w:rPr>
          <w:rFonts w:ascii="Times New Roman" w:hAnsi="Times New Roman" w:cs="Times New Roman"/>
          <w:sz w:val="24"/>
        </w:rPr>
        <w:t xml:space="preserve"> (</w:t>
      </w:r>
      <w:r>
        <w:rPr>
          <w:rFonts w:ascii="Times New Roman" w:hAnsi="Times New Roman" w:cs="Times New Roman"/>
          <w:sz w:val="24"/>
        </w:rPr>
        <w:t>HNA</w:t>
      </w:r>
      <w:r w:rsidR="000A3782">
        <w:rPr>
          <w:rFonts w:ascii="Times New Roman" w:hAnsi="Times New Roman" w:cs="Times New Roman"/>
          <w:sz w:val="24"/>
        </w:rPr>
        <w:t>)</w:t>
      </w:r>
      <w:r>
        <w:rPr>
          <w:rFonts w:ascii="Times New Roman" w:hAnsi="Times New Roman" w:cs="Times New Roman"/>
          <w:sz w:val="24"/>
        </w:rPr>
        <w:t xml:space="preserve"> antibodies to recognize it</w:t>
      </w:r>
      <w:r>
        <w:rPr>
          <w:rFonts w:ascii="Times New Roman" w:hAnsi="Times New Roman" w:cs="Times New Roman" w:hint="eastAsia"/>
          <w:sz w:val="24"/>
        </w:rPr>
        <w:t>.</w:t>
      </w:r>
      <w:r>
        <w:rPr>
          <w:rFonts w:ascii="Times New Roman" w:hAnsi="Times New Roman" w:cs="Times New Roman"/>
          <w:sz w:val="24"/>
        </w:rPr>
        <w:t xml:space="preserve"> </w:t>
      </w:r>
      <w:bookmarkStart w:id="23" w:name="OLE_LINK857"/>
      <w:bookmarkStart w:id="24" w:name="OLE_LINK858"/>
      <w:r>
        <w:rPr>
          <w:rFonts w:ascii="Times New Roman" w:hAnsi="Times New Roman" w:cs="Times New Roman"/>
          <w:sz w:val="24"/>
        </w:rPr>
        <w:t>T</w:t>
      </w:r>
      <w:r>
        <w:rPr>
          <w:rFonts w:ascii="Times New Roman" w:hAnsi="Times New Roman" w:cs="Times New Roman" w:hint="eastAsia"/>
          <w:sz w:val="24"/>
        </w:rPr>
        <w:t>h</w:t>
      </w:r>
      <w:r>
        <w:rPr>
          <w:rFonts w:ascii="Times New Roman" w:hAnsi="Times New Roman" w:cs="Times New Roman"/>
          <w:sz w:val="24"/>
        </w:rPr>
        <w:t>e complement-dependent cytotoxicity (CDC)</w:t>
      </w:r>
      <w:r>
        <w:rPr>
          <w:rFonts w:ascii="Times New Roman" w:hAnsi="Times New Roman" w:cs="Times New Roman" w:hint="eastAsia"/>
          <w:sz w:val="24"/>
        </w:rPr>
        <w:t xml:space="preserve"> </w:t>
      </w:r>
      <w:r>
        <w:rPr>
          <w:rFonts w:ascii="Times New Roman" w:hAnsi="Times New Roman" w:cs="Times New Roman"/>
          <w:sz w:val="24"/>
        </w:rPr>
        <w:t>assay</w:t>
      </w:r>
      <w:r>
        <w:rPr>
          <w:rFonts w:ascii="Times New Roman" w:hAnsi="Times New Roman" w:cs="Times New Roman" w:hint="eastAsia"/>
          <w:sz w:val="24"/>
        </w:rPr>
        <w:t xml:space="preserve"> </w:t>
      </w:r>
      <w:r>
        <w:rPr>
          <w:rFonts w:ascii="Times New Roman" w:hAnsi="Times New Roman" w:cs="Times New Roman"/>
          <w:sz w:val="24"/>
        </w:rPr>
        <w:t xml:space="preserve">was considered as </w:t>
      </w:r>
      <w:r>
        <w:rPr>
          <w:rFonts w:ascii="Times New Roman" w:hAnsi="Times New Roman" w:cs="Times New Roman" w:hint="eastAsia"/>
          <w:sz w:val="24"/>
        </w:rPr>
        <w:t>t</w:t>
      </w:r>
      <w:r>
        <w:rPr>
          <w:rFonts w:ascii="Times New Roman" w:hAnsi="Times New Roman" w:cs="Times New Roman"/>
          <w:sz w:val="24"/>
        </w:rPr>
        <w:t xml:space="preserve">he golden standard for testing </w:t>
      </w:r>
      <w:r>
        <w:rPr>
          <w:rFonts w:ascii="Times New Roman" w:hAnsi="Times New Roman" w:cs="Times New Roman" w:hint="eastAsia"/>
          <w:sz w:val="24"/>
        </w:rPr>
        <w:t>ant</w:t>
      </w:r>
      <w:r w:rsidR="000A3782">
        <w:rPr>
          <w:rFonts w:ascii="Times New Roman" w:hAnsi="Times New Roman" w:cs="Times New Roman"/>
          <w:sz w:val="24"/>
        </w:rPr>
        <w:t>i</w:t>
      </w:r>
      <w:r>
        <w:rPr>
          <w:rFonts w:ascii="Times New Roman" w:hAnsi="Times New Roman" w:cs="Times New Roman" w:hint="eastAsia"/>
          <w:sz w:val="24"/>
        </w:rPr>
        <w:t>-</w:t>
      </w:r>
      <w:r>
        <w:rPr>
          <w:rFonts w:ascii="Times New Roman" w:hAnsi="Times New Roman" w:cs="Times New Roman"/>
          <w:sz w:val="24"/>
        </w:rPr>
        <w:t xml:space="preserve">HLA antibodies </w:t>
      </w:r>
      <w:bookmarkEnd w:id="23"/>
      <w:bookmarkEnd w:id="24"/>
      <w:r w:rsidRPr="00CE2802">
        <w:rPr>
          <w:rFonts w:ascii="Times New Roman" w:hAnsi="Times New Roman" w:cs="Times New Roman"/>
          <w:noProof/>
          <w:sz w:val="24"/>
          <w:vertAlign w:val="superscript"/>
        </w:rPr>
        <w:t>[11]</w:t>
      </w:r>
      <w:r>
        <w:rPr>
          <w:rFonts w:ascii="Times New Roman" w:hAnsi="Times New Roman" w:cs="Times New Roman"/>
          <w:sz w:val="24"/>
        </w:rPr>
        <w:t>. However,</w:t>
      </w:r>
      <w:r w:rsidRPr="00987A16">
        <w:rPr>
          <w:rFonts w:ascii="Times New Roman" w:hAnsi="Times New Roman" w:cs="Times New Roman"/>
          <w:sz w:val="24"/>
        </w:rPr>
        <w:t xml:space="preserve"> </w:t>
      </w:r>
      <w:r w:rsidRPr="005E6D8C">
        <w:rPr>
          <w:rFonts w:ascii="Times New Roman" w:hAnsi="Times New Roman" w:cs="Times New Roman"/>
          <w:sz w:val="24"/>
        </w:rPr>
        <w:t xml:space="preserve">non-complement bound HLA-antibodies </w:t>
      </w:r>
      <w:r>
        <w:rPr>
          <w:rFonts w:ascii="Times New Roman" w:hAnsi="Times New Roman" w:cs="Times New Roman" w:hint="eastAsia"/>
          <w:sz w:val="24"/>
        </w:rPr>
        <w:t>or</w:t>
      </w:r>
      <w:r w:rsidRPr="005E6D8C">
        <w:rPr>
          <w:rFonts w:ascii="Times New Roman" w:hAnsi="Times New Roman" w:cs="Times New Roman"/>
          <w:sz w:val="24"/>
        </w:rPr>
        <w:t xml:space="preserve"> low tire antibodies may be undetected. With the advance of technology, most laborites have introduced antigen-based assays instead of the CDC assay.</w:t>
      </w:r>
      <w:r w:rsidRPr="00987A16">
        <w:rPr>
          <w:rFonts w:ascii="Times New Roman" w:hAnsi="Times New Roman" w:cs="Times New Roman"/>
          <w:sz w:val="24"/>
        </w:rPr>
        <w:t xml:space="preserve"> The commercially available detecting system</w:t>
      </w:r>
      <w:r>
        <w:rPr>
          <w:rFonts w:ascii="Times New Roman" w:hAnsi="Times New Roman" w:cs="Times New Roman" w:hint="eastAsia"/>
          <w:sz w:val="24"/>
        </w:rPr>
        <w:t>s</w:t>
      </w:r>
      <w:r w:rsidRPr="00987A16">
        <w:rPr>
          <w:rFonts w:ascii="Times New Roman" w:hAnsi="Times New Roman" w:cs="Times New Roman"/>
          <w:sz w:val="24"/>
        </w:rPr>
        <w:t xml:space="preserve"> </w:t>
      </w:r>
      <w:r>
        <w:rPr>
          <w:rFonts w:ascii="Times New Roman" w:hAnsi="Times New Roman" w:cs="Times New Roman"/>
          <w:sz w:val="24"/>
        </w:rPr>
        <w:t>based on bead</w:t>
      </w:r>
      <w:r>
        <w:rPr>
          <w:rFonts w:ascii="Times New Roman" w:hAnsi="Times New Roman" w:cs="Times New Roman" w:hint="eastAsia"/>
          <w:sz w:val="24"/>
        </w:rPr>
        <w:t xml:space="preserve"> assay</w:t>
      </w:r>
      <w:r>
        <w:rPr>
          <w:rFonts w:ascii="Times New Roman" w:hAnsi="Times New Roman" w:cs="Times New Roman"/>
          <w:sz w:val="24"/>
        </w:rPr>
        <w:t>s</w:t>
      </w:r>
      <w:r w:rsidRPr="00775884">
        <w:rPr>
          <w:rFonts w:ascii="Times New Roman" w:hAnsi="Times New Roman" w:cs="Times New Roman"/>
          <w:sz w:val="24"/>
        </w:rPr>
        <w:t xml:space="preserve"> including</w:t>
      </w:r>
      <w:r>
        <w:rPr>
          <w:rFonts w:ascii="Times New Roman" w:hAnsi="Times New Roman" w:cs="Times New Roman"/>
          <w:sz w:val="24"/>
        </w:rPr>
        <w:t xml:space="preserve"> </w:t>
      </w:r>
      <w:proofErr w:type="spellStart"/>
      <w:r w:rsidRPr="00775884">
        <w:rPr>
          <w:rFonts w:ascii="Times New Roman" w:hAnsi="Times New Roman" w:cs="Times New Roman"/>
          <w:sz w:val="24"/>
        </w:rPr>
        <w:t>FlowPRA</w:t>
      </w:r>
      <w:proofErr w:type="spellEnd"/>
      <w:r w:rsidRPr="00775884">
        <w:rPr>
          <w:rFonts w:ascii="Times New Roman" w:hAnsi="Times New Roman" w:cs="Times New Roman"/>
          <w:sz w:val="24"/>
        </w:rPr>
        <w:t xml:space="preserve"> screening assay </w:t>
      </w:r>
      <w:r>
        <w:rPr>
          <w:rFonts w:ascii="Times New Roman" w:hAnsi="Times New Roman" w:cs="Times New Roman" w:hint="eastAsia"/>
          <w:sz w:val="24"/>
        </w:rPr>
        <w:t>and</w:t>
      </w:r>
      <w:r>
        <w:rPr>
          <w:rFonts w:ascii="Times New Roman" w:hAnsi="Times New Roman" w:cs="Times New Roman"/>
          <w:sz w:val="24"/>
        </w:rPr>
        <w:t xml:space="preserve"> </w:t>
      </w:r>
      <w:r w:rsidRPr="00987A16">
        <w:rPr>
          <w:rFonts w:ascii="Times New Roman" w:hAnsi="Times New Roman" w:cs="Times New Roman"/>
          <w:sz w:val="24"/>
        </w:rPr>
        <w:t>Luminex platform</w:t>
      </w:r>
      <w:r>
        <w:rPr>
          <w:rFonts w:ascii="Times New Roman" w:hAnsi="Times New Roman" w:cs="Times New Roman"/>
          <w:sz w:val="24"/>
        </w:rPr>
        <w:t>,</w:t>
      </w:r>
      <w:r w:rsidRPr="00987A16">
        <w:rPr>
          <w:rFonts w:ascii="Times New Roman" w:hAnsi="Times New Roman" w:cs="Times New Roman"/>
          <w:sz w:val="24"/>
        </w:rPr>
        <w:t xml:space="preserve"> aid</w:t>
      </w:r>
      <w:r>
        <w:rPr>
          <w:rFonts w:ascii="Times New Roman" w:hAnsi="Times New Roman" w:cs="Times New Roman"/>
          <w:sz w:val="24"/>
        </w:rPr>
        <w:t xml:space="preserve"> </w:t>
      </w:r>
      <w:r w:rsidRPr="00987A16">
        <w:rPr>
          <w:rFonts w:ascii="Times New Roman" w:hAnsi="Times New Roman" w:cs="Times New Roman"/>
          <w:sz w:val="24"/>
        </w:rPr>
        <w:t xml:space="preserve">to classify HLA-antibodies </w:t>
      </w:r>
      <w:r>
        <w:rPr>
          <w:rFonts w:ascii="Times New Roman" w:hAnsi="Times New Roman" w:cs="Times New Roman"/>
          <w:sz w:val="24"/>
        </w:rPr>
        <w:t>pheno</w:t>
      </w:r>
      <w:r w:rsidRPr="00987A16">
        <w:rPr>
          <w:rFonts w:ascii="Times New Roman" w:hAnsi="Times New Roman" w:cs="Times New Roman"/>
          <w:sz w:val="24"/>
        </w:rPr>
        <w:t>type</w:t>
      </w:r>
      <w:r>
        <w:rPr>
          <w:rFonts w:ascii="Times New Roman" w:hAnsi="Times New Roman" w:cs="Times New Roman"/>
          <w:sz w:val="24"/>
        </w:rPr>
        <w:t xml:space="preserve">, </w:t>
      </w:r>
      <w:r w:rsidRPr="00951CE3">
        <w:rPr>
          <w:rFonts w:ascii="Times New Roman" w:hAnsi="Times New Roman" w:cs="Times New Roman"/>
          <w:sz w:val="24"/>
        </w:rPr>
        <w:t xml:space="preserve">require less </w:t>
      </w:r>
      <w:proofErr w:type="spellStart"/>
      <w:r w:rsidRPr="00951CE3">
        <w:rPr>
          <w:rFonts w:ascii="Times New Roman" w:hAnsi="Times New Roman" w:cs="Times New Roman"/>
          <w:sz w:val="24"/>
        </w:rPr>
        <w:t>labour-intensive</w:t>
      </w:r>
      <w:proofErr w:type="spellEnd"/>
      <w:r>
        <w:rPr>
          <w:rFonts w:ascii="Times New Roman" w:hAnsi="Times New Roman" w:cs="Times New Roman"/>
          <w:sz w:val="24"/>
        </w:rPr>
        <w:t>, and</w:t>
      </w:r>
      <w:r w:rsidRPr="00951CE3">
        <w:rPr>
          <w:rFonts w:ascii="Times New Roman" w:hAnsi="Times New Roman" w:cs="Times New Roman"/>
          <w:sz w:val="24"/>
        </w:rPr>
        <w:t xml:space="preserve"> </w:t>
      </w:r>
      <w:r>
        <w:rPr>
          <w:rFonts w:ascii="Times New Roman" w:hAnsi="Times New Roman" w:cs="Times New Roman"/>
          <w:sz w:val="24"/>
        </w:rPr>
        <w:t xml:space="preserve">detect low tire antibodies with high sensitivity and specificity </w:t>
      </w:r>
      <w:r w:rsidRPr="00CE2802">
        <w:rPr>
          <w:rFonts w:ascii="Times New Roman" w:hAnsi="Times New Roman" w:cs="Times New Roman"/>
          <w:noProof/>
          <w:sz w:val="24"/>
          <w:vertAlign w:val="superscript"/>
        </w:rPr>
        <w:t>[12]</w:t>
      </w:r>
      <w:r w:rsidRPr="00987A16">
        <w:rPr>
          <w:rFonts w:ascii="Times New Roman" w:hAnsi="Times New Roman" w:cs="Times New Roman"/>
          <w:sz w:val="24"/>
        </w:rPr>
        <w:t xml:space="preserve">. </w:t>
      </w:r>
      <w:r>
        <w:rPr>
          <w:rFonts w:ascii="Times New Roman" w:hAnsi="Times New Roman" w:cs="Times New Roman"/>
          <w:sz w:val="24"/>
        </w:rPr>
        <w:t>In addition to HLA antibodies, HNA-antibodies also exert detrimental role in antibody-dependent TRALI.</w:t>
      </w:r>
      <w:r>
        <w:rPr>
          <w:rFonts w:ascii="Times New Roman" w:hAnsi="Times New Roman" w:cs="Times New Roman" w:hint="eastAsia"/>
          <w:sz w:val="24"/>
        </w:rPr>
        <w:t xml:space="preserve"> </w:t>
      </w:r>
      <w:r>
        <w:rPr>
          <w:rFonts w:ascii="Times New Roman" w:hAnsi="Times New Roman" w:cs="Times New Roman"/>
          <w:sz w:val="24"/>
        </w:rPr>
        <w:t xml:space="preserve">Classical serological methods that test HNA-antibodies are the </w:t>
      </w:r>
      <w:r w:rsidRPr="00EA6358">
        <w:rPr>
          <w:rFonts w:ascii="Times New Roman" w:hAnsi="Times New Roman" w:cs="Times New Roman"/>
          <w:sz w:val="24"/>
        </w:rPr>
        <w:t>granulocyte immunofluorescence</w:t>
      </w:r>
      <w:r>
        <w:rPr>
          <w:rFonts w:ascii="Times New Roman" w:hAnsi="Times New Roman" w:cs="Times New Roman" w:hint="eastAsia"/>
          <w:sz w:val="24"/>
        </w:rPr>
        <w:t xml:space="preserve"> </w:t>
      </w:r>
      <w:r w:rsidRPr="00EA6358">
        <w:rPr>
          <w:rFonts w:ascii="Times New Roman" w:hAnsi="Times New Roman" w:cs="Times New Roman"/>
          <w:sz w:val="24"/>
        </w:rPr>
        <w:t>test (GIFT) and granulocyte agglutination test (GAT)</w:t>
      </w:r>
      <w:r>
        <w:rPr>
          <w:rFonts w:ascii="Times New Roman" w:hAnsi="Times New Roman" w:cs="Times New Roman"/>
          <w:sz w:val="24"/>
        </w:rPr>
        <w:t xml:space="preserve">. The advantage of GIFT and GAT are the most sensitive </w:t>
      </w:r>
      <w:r>
        <w:rPr>
          <w:rFonts w:ascii="Times New Roman" w:hAnsi="Times New Roman" w:cs="Times New Roman" w:hint="eastAsia"/>
          <w:sz w:val="24"/>
        </w:rPr>
        <w:t>tool</w:t>
      </w:r>
      <w:r>
        <w:rPr>
          <w:rFonts w:ascii="Times New Roman" w:hAnsi="Times New Roman" w:cs="Times New Roman"/>
          <w:sz w:val="24"/>
        </w:rPr>
        <w:t xml:space="preserve"> and has a better capacity to test HNA-3a antibodies, respectively </w:t>
      </w:r>
      <w:r w:rsidRPr="00CE2802">
        <w:rPr>
          <w:rFonts w:ascii="Times New Roman" w:hAnsi="Times New Roman" w:cs="Times New Roman"/>
          <w:noProof/>
          <w:sz w:val="24"/>
          <w:vertAlign w:val="superscript"/>
        </w:rPr>
        <w:t>[13, 14]</w:t>
      </w:r>
      <w:r>
        <w:rPr>
          <w:rFonts w:ascii="Times New Roman" w:hAnsi="Times New Roman" w:cs="Times New Roman"/>
          <w:sz w:val="24"/>
        </w:rPr>
        <w:t xml:space="preserve">. </w:t>
      </w:r>
      <w:r w:rsidRPr="00EA6358">
        <w:rPr>
          <w:rFonts w:ascii="Times New Roman" w:hAnsi="Times New Roman" w:cs="Times New Roman"/>
          <w:sz w:val="24"/>
        </w:rPr>
        <w:t xml:space="preserve">Luminex </w:t>
      </w:r>
      <w:r>
        <w:rPr>
          <w:rFonts w:ascii="Times New Roman" w:hAnsi="Times New Roman" w:cs="Times New Roman" w:hint="eastAsia"/>
          <w:sz w:val="24"/>
        </w:rPr>
        <w:t>platforms</w:t>
      </w:r>
      <w:r>
        <w:rPr>
          <w:rFonts w:ascii="Times New Roman" w:hAnsi="Times New Roman" w:cs="Times New Roman"/>
          <w:sz w:val="24"/>
        </w:rPr>
        <w:t xml:space="preserve"> </w:t>
      </w:r>
      <w:r>
        <w:rPr>
          <w:rFonts w:ascii="Times New Roman" w:hAnsi="Times New Roman" w:cs="Times New Roman" w:hint="eastAsia"/>
          <w:sz w:val="24"/>
        </w:rPr>
        <w:t>also</w:t>
      </w:r>
      <w:r w:rsidRPr="00EA6358">
        <w:rPr>
          <w:rFonts w:ascii="Times New Roman" w:hAnsi="Times New Roman" w:cs="Times New Roman" w:hint="eastAsia"/>
          <w:sz w:val="24"/>
        </w:rPr>
        <w:t xml:space="preserve"> </w:t>
      </w:r>
      <w:r w:rsidRPr="00EA6358">
        <w:rPr>
          <w:rFonts w:ascii="Times New Roman" w:hAnsi="Times New Roman" w:cs="Times New Roman"/>
          <w:sz w:val="24"/>
        </w:rPr>
        <w:t xml:space="preserve">have been </w:t>
      </w:r>
      <w:r>
        <w:rPr>
          <w:rFonts w:ascii="Times New Roman" w:hAnsi="Times New Roman" w:cs="Times New Roman" w:hint="eastAsia"/>
          <w:sz w:val="24"/>
        </w:rPr>
        <w:t>exploited</w:t>
      </w:r>
      <w:r w:rsidRPr="00EA6358">
        <w:rPr>
          <w:rFonts w:ascii="Times New Roman" w:hAnsi="Times New Roman" w:cs="Times New Roman"/>
          <w:sz w:val="24"/>
        </w:rPr>
        <w:t xml:space="preserve"> to detect</w:t>
      </w:r>
      <w:r>
        <w:rPr>
          <w:rFonts w:ascii="Times New Roman" w:hAnsi="Times New Roman" w:cs="Times New Roman"/>
          <w:sz w:val="24"/>
        </w:rPr>
        <w:t xml:space="preserve"> HNA</w:t>
      </w:r>
      <w:r>
        <w:rPr>
          <w:rFonts w:ascii="Times New Roman" w:hAnsi="Times New Roman" w:cs="Times New Roman" w:hint="eastAsia"/>
          <w:sz w:val="24"/>
        </w:rPr>
        <w:t>-antibodies</w:t>
      </w:r>
      <w:r>
        <w:rPr>
          <w:rFonts w:ascii="Times New Roman" w:hAnsi="Times New Roman" w:cs="Times New Roman"/>
          <w:sz w:val="24"/>
        </w:rPr>
        <w:t xml:space="preserve"> </w:t>
      </w:r>
      <w:r w:rsidRPr="00CE2802">
        <w:rPr>
          <w:rFonts w:ascii="Times New Roman" w:hAnsi="Times New Roman" w:cs="Times New Roman"/>
          <w:noProof/>
          <w:sz w:val="24"/>
          <w:vertAlign w:val="superscript"/>
        </w:rPr>
        <w:t>[15]</w:t>
      </w:r>
      <w:r>
        <w:rPr>
          <w:rFonts w:ascii="Times New Roman" w:hAnsi="Times New Roman" w:cs="Times New Roman" w:hint="eastAsia"/>
          <w:sz w:val="24"/>
        </w:rPr>
        <w:t>.</w:t>
      </w:r>
      <w:r>
        <w:rPr>
          <w:rFonts w:ascii="Times New Roman" w:hAnsi="Times New Roman" w:cs="Times New Roman"/>
          <w:sz w:val="24"/>
        </w:rPr>
        <w:t xml:space="preserve"> H</w:t>
      </w:r>
      <w:r>
        <w:rPr>
          <w:rFonts w:ascii="Times New Roman" w:hAnsi="Times New Roman" w:cs="Times New Roman" w:hint="eastAsia"/>
          <w:sz w:val="24"/>
        </w:rPr>
        <w:t>owever</w:t>
      </w:r>
      <w:r>
        <w:rPr>
          <w:rFonts w:ascii="Times New Roman" w:hAnsi="Times New Roman" w:cs="Times New Roman"/>
          <w:sz w:val="24"/>
        </w:rPr>
        <w:t>, the experimental methods detecting</w:t>
      </w:r>
      <w:bookmarkStart w:id="25" w:name="OLE_LINK198"/>
      <w:bookmarkStart w:id="26" w:name="OLE_LINK199"/>
      <w:r>
        <w:rPr>
          <w:rFonts w:ascii="Times New Roman" w:hAnsi="Times New Roman" w:cs="Times New Roman"/>
          <w:sz w:val="24"/>
        </w:rPr>
        <w:t xml:space="preserve"> </w:t>
      </w:r>
      <w:r w:rsidR="00150218">
        <w:rPr>
          <w:rFonts w:ascii="Times New Roman" w:hAnsi="Times New Roman" w:cs="Times New Roman"/>
          <w:sz w:val="24"/>
        </w:rPr>
        <w:t>non</w:t>
      </w:r>
      <w:r>
        <w:rPr>
          <w:rFonts w:ascii="Times New Roman" w:hAnsi="Times New Roman" w:cs="Times New Roman"/>
          <w:sz w:val="24"/>
        </w:rPr>
        <w:t>-antibody</w:t>
      </w:r>
      <w:r w:rsidR="002C74F1">
        <w:rPr>
          <w:rFonts w:ascii="Times New Roman" w:hAnsi="Times New Roman" w:cs="Times New Roman"/>
          <w:sz w:val="24"/>
        </w:rPr>
        <w:t>- mediated</w:t>
      </w:r>
      <w:r>
        <w:rPr>
          <w:rFonts w:ascii="Times New Roman" w:hAnsi="Times New Roman" w:cs="Times New Roman"/>
          <w:sz w:val="24"/>
        </w:rPr>
        <w:t xml:space="preserve"> TRALI</w:t>
      </w:r>
      <w:bookmarkEnd w:id="25"/>
      <w:bookmarkEnd w:id="26"/>
      <w:r>
        <w:rPr>
          <w:rFonts w:ascii="Times New Roman" w:hAnsi="Times New Roman" w:cs="Times New Roman"/>
          <w:sz w:val="24"/>
        </w:rPr>
        <w:t xml:space="preserve"> still remains unknown.</w:t>
      </w:r>
    </w:p>
    <w:bookmarkEnd w:id="0"/>
    <w:bookmarkEnd w:id="1"/>
    <w:p w:rsidR="009C04C5" w:rsidRDefault="009C04C5" w:rsidP="009B3E6E">
      <w:pPr>
        <w:spacing w:line="360" w:lineRule="auto"/>
        <w:ind w:firstLineChars="200" w:firstLine="480"/>
        <w:rPr>
          <w:rFonts w:ascii="Times New Roman" w:hAnsi="Times New Roman" w:cs="Times New Roman"/>
          <w:sz w:val="24"/>
        </w:rPr>
      </w:pPr>
      <w:r w:rsidRPr="009B3E6E">
        <w:rPr>
          <w:rFonts w:ascii="Times New Roman" w:hAnsi="Times New Roman" w:cs="Times New Roman"/>
          <w:sz w:val="24"/>
        </w:rPr>
        <w:t>In conclusion, this overview sheds light on the challenging landscape of diagnosing and distinguishing between TRALI and TACO, both of which present with acute respiratory distress. While current clinical diagnosis relies on redefined criteria and radiological signs, specific laboratory tests for TRALI remain elusive. Recent progress has shown promise in using biomarkers such as BNP, pro-BNP, and cytokine profiles to aid in differentiation, but further validation in larger population-based studies is necessary. Additionally, for antibody-mediated TRALI, detection methods for antibodies in donors have evolved, with antigen-based assays on advanced platforms offering increased sensitivity and specificity. Nevertheless, challenges still persist, particularly in detecting certain antibodies. Further research is required to unravel the complexities of TRALI, its diagnosis, and the role of various antibodies. This ongoing pursuit of improved diagnostic tools and methods is essential in our commitment to enhancing patient care and outcomes in the context of transfusion-related complications.</w:t>
      </w:r>
    </w:p>
    <w:p w:rsidR="009C04C5" w:rsidRDefault="009C04C5">
      <w:pPr>
        <w:rPr>
          <w:rFonts w:ascii="Times New Roman" w:hAnsi="Times New Roman" w:cs="Times New Roman"/>
          <w:sz w:val="24"/>
        </w:rPr>
      </w:pPr>
    </w:p>
    <w:p w:rsidR="009C04C5" w:rsidRPr="00B81532" w:rsidRDefault="009C04C5">
      <w:pPr>
        <w:rPr>
          <w:rFonts w:ascii="Times New Roman" w:hAnsi="Times New Roman" w:cs="Times New Roman"/>
          <w:b/>
          <w:sz w:val="24"/>
        </w:rPr>
      </w:pPr>
      <w:r w:rsidRPr="00B81532">
        <w:rPr>
          <w:rFonts w:ascii="Times New Roman" w:hAnsi="Times New Roman" w:cs="Times New Roman" w:hint="eastAsia"/>
          <w:b/>
          <w:sz w:val="24"/>
        </w:rPr>
        <w:lastRenderedPageBreak/>
        <w:t>R</w:t>
      </w:r>
      <w:r w:rsidRPr="00B81532">
        <w:rPr>
          <w:rFonts w:ascii="Times New Roman" w:hAnsi="Times New Roman" w:cs="Times New Roman"/>
          <w:b/>
          <w:sz w:val="24"/>
        </w:rPr>
        <w:t>eferences</w:t>
      </w:r>
    </w:p>
    <w:p w:rsidR="009C04C5" w:rsidRDefault="009C04C5">
      <w:pPr>
        <w:rPr>
          <w:rFonts w:ascii="Times New Roman" w:hAnsi="Times New Roman" w:cs="Times New Roman"/>
          <w:sz w:val="24"/>
        </w:rPr>
      </w:pP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w:t>
      </w:r>
      <w:r w:rsidRPr="009C04C5">
        <w:rPr>
          <w:rFonts w:ascii="Times New Roman" w:hAnsi="Times New Roman" w:cs="Times New Roman"/>
          <w:noProof/>
          <w:sz w:val="21"/>
          <w:szCs w:val="21"/>
        </w:rPr>
        <w:tab/>
        <w:t>US Food and Drug Administration. Fatalities Reported to Fda Following Blood Collection and Transfusion Annual Summary for Fy 2020. (2021.). Available from: https://www.fda.gov/media/160859/download.</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[2]</w:t>
      </w:r>
      <w:r w:rsidRPr="009C04C5">
        <w:rPr>
          <w:rFonts w:ascii="Times New Roman" w:hAnsi="Times New Roman" w:cs="Times New Roman"/>
          <w:noProof/>
          <w:sz w:val="21"/>
          <w:szCs w:val="21"/>
        </w:rPr>
        <w:tab/>
        <w:t>van den Akker T A, Grimes Z M, Friedman M T. Transfusion-Associated Circulatory Overload and Transfusion-Related Acute Lung Injury. Am J Clin Pathol, 2021, 156(4): 529-539.</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[3]</w:t>
      </w:r>
      <w:r w:rsidRPr="009C04C5">
        <w:rPr>
          <w:rFonts w:ascii="Times New Roman" w:hAnsi="Times New Roman" w:cs="Times New Roman"/>
          <w:noProof/>
          <w:sz w:val="21"/>
          <w:szCs w:val="21"/>
        </w:rPr>
        <w:tab/>
        <w:t>Aubron C, Hourmant B, Menguy J, et al. Transfusion-related respiratory complications in intensive care: A diagnosis challenge. Transfus Clin Biol, 2021, 28(4): 344-348.</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[4]</w:t>
      </w:r>
      <w:r w:rsidRPr="009C04C5">
        <w:rPr>
          <w:rFonts w:ascii="Times New Roman" w:hAnsi="Times New Roman" w:cs="Times New Roman"/>
          <w:noProof/>
          <w:sz w:val="21"/>
          <w:szCs w:val="21"/>
        </w:rPr>
        <w:tab/>
        <w:t>Toy P, Looney M R, Popovsky M, et al. Transfusion-related Acute Lung Injury: 36 Years of Progress (1985-2021). Ann Am Thorac Soc, 2022, 19(5): 705-712.</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[5]</w:t>
      </w:r>
      <w:r w:rsidRPr="009C04C5">
        <w:rPr>
          <w:rFonts w:ascii="Times New Roman" w:hAnsi="Times New Roman" w:cs="Times New Roman"/>
          <w:noProof/>
          <w:sz w:val="21"/>
          <w:szCs w:val="21"/>
        </w:rPr>
        <w:tab/>
        <w:t>Vlaar A P J, Toy P, Fung M, et al. A consensus redefinition of transfusion-related acute lung injury. Transfusion, 2019, 59(7): 2465-2476.</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[6]</w:t>
      </w:r>
      <w:r w:rsidRPr="009C04C5">
        <w:rPr>
          <w:rFonts w:ascii="Times New Roman" w:hAnsi="Times New Roman" w:cs="Times New Roman"/>
          <w:noProof/>
          <w:sz w:val="21"/>
          <w:szCs w:val="21"/>
        </w:rPr>
        <w:tab/>
        <w:t>Roubinian N H, Looney M R, Keating S, et al. Differentiating pulmonary transfusion reactions using recipient and transfusion factors. Transfusion, 2017, 57(7): 1684-1690.</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[7]</w:t>
      </w:r>
      <w:r w:rsidRPr="009C04C5">
        <w:rPr>
          <w:rFonts w:ascii="Times New Roman" w:hAnsi="Times New Roman" w:cs="Times New Roman"/>
          <w:noProof/>
          <w:sz w:val="21"/>
          <w:szCs w:val="21"/>
        </w:rPr>
        <w:tab/>
        <w:t>Semple J W, Rebetz J, Kapur R. Transfusion-associated circulatory overload and transfusion-related acute lung injury. Blood, 2019, 133(17): 1840-1853.</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[8]</w:t>
      </w:r>
      <w:r w:rsidRPr="009C04C5">
        <w:rPr>
          <w:rFonts w:ascii="Times New Roman" w:hAnsi="Times New Roman" w:cs="Times New Roman"/>
          <w:noProof/>
          <w:sz w:val="21"/>
          <w:szCs w:val="21"/>
        </w:rPr>
        <w:tab/>
        <w:t>Klanderman R B, Bosboom J J, Migdady Y, et al. Transfusion-associated circulatory overload-a systematic review of diagnostic biomarkers. Transfusion, 2019, 59(2): 795-805.</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[9]</w:t>
      </w:r>
      <w:r w:rsidRPr="009C04C5">
        <w:rPr>
          <w:rFonts w:ascii="Times New Roman" w:hAnsi="Times New Roman" w:cs="Times New Roman"/>
          <w:noProof/>
          <w:sz w:val="21"/>
          <w:szCs w:val="21"/>
        </w:rPr>
        <w:tab/>
        <w:t>Desai D S, Shah K S, Shah S A. Educational Case: Transfusion reactions: Transfusion associated circulatory overload vs transfusion-related acute lung injury. Acad Pathol, 2022, 9(1): 100022.</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[10]</w:t>
      </w:r>
      <w:r w:rsidRPr="009C04C5">
        <w:rPr>
          <w:rFonts w:ascii="Times New Roman" w:hAnsi="Times New Roman" w:cs="Times New Roman"/>
          <w:noProof/>
          <w:sz w:val="21"/>
          <w:szCs w:val="21"/>
        </w:rPr>
        <w:tab/>
        <w:t>Sun L, Liu Y. Clinical Factors of Blood Transfusion-Related Acute Lung Injury and Changes in Levels of Treg-Related Cytokines. Emerg Med Int, 2022, 2022: 7344375.</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[11]</w:t>
      </w:r>
      <w:r w:rsidRPr="009C04C5">
        <w:rPr>
          <w:rFonts w:ascii="Times New Roman" w:hAnsi="Times New Roman" w:cs="Times New Roman"/>
          <w:noProof/>
          <w:sz w:val="21"/>
          <w:szCs w:val="21"/>
        </w:rPr>
        <w:tab/>
        <w:t>Pandey P, Pande A, Mandal S, et al. Effects of different sensitization events on HLA alloimmunization in renal transplant cases; a retrospective observation in 1066 cases. Transpl Immunol, 2022, 75: 101680.</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[12]</w:t>
      </w:r>
      <w:r w:rsidRPr="009C04C5">
        <w:rPr>
          <w:rFonts w:ascii="Times New Roman" w:hAnsi="Times New Roman" w:cs="Times New Roman"/>
          <w:noProof/>
          <w:sz w:val="21"/>
          <w:szCs w:val="21"/>
        </w:rPr>
        <w:tab/>
        <w:t>Karahan G E, de Vaal Y, Bakker K, et al. Comparison of different luminex single antigen bead kits for memory B cell-derived HLA antibody detection. Hla, 2021, 98(3): 200-206.</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[13]</w:t>
      </w:r>
      <w:r w:rsidRPr="009C04C5">
        <w:rPr>
          <w:rFonts w:ascii="Times New Roman" w:hAnsi="Times New Roman" w:cs="Times New Roman"/>
          <w:noProof/>
          <w:sz w:val="21"/>
          <w:szCs w:val="21"/>
        </w:rPr>
        <w:tab/>
        <w:t>Chiaretti S, Burton M, Hassel P, et al. Human neutrophil antigen 3 genotype impacts neutrophil-mediated endothelial cell cytotoxicity in a two-event model of TRALI. Blood Transfus, 2022.</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[14]</w:t>
      </w:r>
      <w:r w:rsidRPr="009C04C5">
        <w:rPr>
          <w:rFonts w:ascii="Times New Roman" w:hAnsi="Times New Roman" w:cs="Times New Roman"/>
          <w:noProof/>
          <w:sz w:val="21"/>
          <w:szCs w:val="21"/>
        </w:rPr>
        <w:tab/>
        <w:t>Bux J, Chapman J. Report on the second international granulocyte serology workshop. Transfusion, 1997, 37(9): 977-983.</w:t>
      </w:r>
    </w:p>
    <w:p w:rsidR="009C04C5" w:rsidRPr="009C04C5" w:rsidRDefault="009C04C5" w:rsidP="009C04C5">
      <w:pPr>
        <w:pStyle w:val="EndNoteBibliography"/>
        <w:ind w:left="420" w:hangingChars="200" w:hanging="420"/>
        <w:rPr>
          <w:rFonts w:ascii="Times New Roman" w:hAnsi="Times New Roman" w:cs="Times New Roman"/>
          <w:noProof/>
          <w:sz w:val="21"/>
          <w:szCs w:val="21"/>
        </w:rPr>
      </w:pPr>
      <w:r w:rsidRPr="009C04C5">
        <w:rPr>
          <w:rFonts w:ascii="Times New Roman" w:hAnsi="Times New Roman" w:cs="Times New Roman"/>
          <w:noProof/>
          <w:sz w:val="21"/>
          <w:szCs w:val="21"/>
        </w:rPr>
        <w:t>[15]</w:t>
      </w:r>
      <w:r w:rsidRPr="009C04C5">
        <w:rPr>
          <w:rFonts w:ascii="Times New Roman" w:hAnsi="Times New Roman" w:cs="Times New Roman"/>
          <w:noProof/>
          <w:sz w:val="21"/>
          <w:szCs w:val="21"/>
        </w:rPr>
        <w:tab/>
        <w:t>Barros M M O, Ayoub F L, Lemos G, et al. Autoimmune pancytopenia after liver transplantation: A case report. Transfus Apher Sci, 2021, 60(4): 103136.</w:t>
      </w:r>
    </w:p>
    <w:p w:rsidR="009C04C5" w:rsidRPr="009C04C5" w:rsidRDefault="009C04C5" w:rsidP="009C04C5">
      <w:pPr>
        <w:ind w:left="420" w:hangingChars="200" w:hanging="420"/>
        <w:rPr>
          <w:rFonts w:ascii="Times New Roman" w:hAnsi="Times New Roman" w:cs="Times New Roman"/>
          <w:szCs w:val="21"/>
        </w:rPr>
      </w:pPr>
    </w:p>
    <w:p w:rsidR="003B493F" w:rsidRPr="009C04C5" w:rsidRDefault="003B493F">
      <w:pPr>
        <w:rPr>
          <w:szCs w:val="21"/>
        </w:rPr>
      </w:pPr>
    </w:p>
    <w:sectPr w:rsidR="003B493F" w:rsidRPr="009C04C5" w:rsidSect="001D6A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C04C5"/>
    <w:rsid w:val="00011F78"/>
    <w:rsid w:val="000141AE"/>
    <w:rsid w:val="00020BE4"/>
    <w:rsid w:val="00027A4C"/>
    <w:rsid w:val="00030E7C"/>
    <w:rsid w:val="000477EB"/>
    <w:rsid w:val="00084C3B"/>
    <w:rsid w:val="00093D8D"/>
    <w:rsid w:val="000A3782"/>
    <w:rsid w:val="000B2E94"/>
    <w:rsid w:val="000C0C59"/>
    <w:rsid w:val="000C1423"/>
    <w:rsid w:val="000E1315"/>
    <w:rsid w:val="000E503A"/>
    <w:rsid w:val="001041C7"/>
    <w:rsid w:val="00112119"/>
    <w:rsid w:val="001150C5"/>
    <w:rsid w:val="0013587E"/>
    <w:rsid w:val="001444C7"/>
    <w:rsid w:val="00150218"/>
    <w:rsid w:val="00161EFE"/>
    <w:rsid w:val="00182463"/>
    <w:rsid w:val="001C5B18"/>
    <w:rsid w:val="002036C2"/>
    <w:rsid w:val="00211DA8"/>
    <w:rsid w:val="00227CF4"/>
    <w:rsid w:val="00241A4F"/>
    <w:rsid w:val="00243CF1"/>
    <w:rsid w:val="002470B9"/>
    <w:rsid w:val="00254C51"/>
    <w:rsid w:val="00254F47"/>
    <w:rsid w:val="00261221"/>
    <w:rsid w:val="00291B26"/>
    <w:rsid w:val="00297252"/>
    <w:rsid w:val="002A4FF1"/>
    <w:rsid w:val="002A57DE"/>
    <w:rsid w:val="002C74F1"/>
    <w:rsid w:val="002C7F19"/>
    <w:rsid w:val="002D2B67"/>
    <w:rsid w:val="002D52AF"/>
    <w:rsid w:val="002D5B22"/>
    <w:rsid w:val="002E3ECF"/>
    <w:rsid w:val="002F673B"/>
    <w:rsid w:val="0030630B"/>
    <w:rsid w:val="00313104"/>
    <w:rsid w:val="00315918"/>
    <w:rsid w:val="00327C00"/>
    <w:rsid w:val="00332002"/>
    <w:rsid w:val="00341A9E"/>
    <w:rsid w:val="00342C4C"/>
    <w:rsid w:val="003434C8"/>
    <w:rsid w:val="00344C77"/>
    <w:rsid w:val="00350DE7"/>
    <w:rsid w:val="003513DF"/>
    <w:rsid w:val="00352B3B"/>
    <w:rsid w:val="00357183"/>
    <w:rsid w:val="00360469"/>
    <w:rsid w:val="0036611D"/>
    <w:rsid w:val="0037351D"/>
    <w:rsid w:val="003856CF"/>
    <w:rsid w:val="00387989"/>
    <w:rsid w:val="00397753"/>
    <w:rsid w:val="003B493F"/>
    <w:rsid w:val="003B566D"/>
    <w:rsid w:val="003C3941"/>
    <w:rsid w:val="003E48A7"/>
    <w:rsid w:val="003E4907"/>
    <w:rsid w:val="003E507D"/>
    <w:rsid w:val="003E72AD"/>
    <w:rsid w:val="00411E66"/>
    <w:rsid w:val="004157D7"/>
    <w:rsid w:val="00421A2D"/>
    <w:rsid w:val="00424A86"/>
    <w:rsid w:val="00432DD6"/>
    <w:rsid w:val="0043361A"/>
    <w:rsid w:val="00442B69"/>
    <w:rsid w:val="00473BAB"/>
    <w:rsid w:val="00480C48"/>
    <w:rsid w:val="00485894"/>
    <w:rsid w:val="004959A5"/>
    <w:rsid w:val="00495F5A"/>
    <w:rsid w:val="004A4497"/>
    <w:rsid w:val="004A5A08"/>
    <w:rsid w:val="004B0BDF"/>
    <w:rsid w:val="004B5A3D"/>
    <w:rsid w:val="004F19C2"/>
    <w:rsid w:val="005010F4"/>
    <w:rsid w:val="00504D0F"/>
    <w:rsid w:val="0051524A"/>
    <w:rsid w:val="00522433"/>
    <w:rsid w:val="0055087E"/>
    <w:rsid w:val="00553FE8"/>
    <w:rsid w:val="005703A2"/>
    <w:rsid w:val="005A39FD"/>
    <w:rsid w:val="005A6E3B"/>
    <w:rsid w:val="005C1236"/>
    <w:rsid w:val="005C4164"/>
    <w:rsid w:val="005E2439"/>
    <w:rsid w:val="005E72E9"/>
    <w:rsid w:val="005E7A63"/>
    <w:rsid w:val="005F0E55"/>
    <w:rsid w:val="005F24E6"/>
    <w:rsid w:val="006120DE"/>
    <w:rsid w:val="0063417C"/>
    <w:rsid w:val="00636B7E"/>
    <w:rsid w:val="006564F8"/>
    <w:rsid w:val="00657724"/>
    <w:rsid w:val="006635E0"/>
    <w:rsid w:val="00670FF6"/>
    <w:rsid w:val="00690FC8"/>
    <w:rsid w:val="006A0B96"/>
    <w:rsid w:val="006A15B8"/>
    <w:rsid w:val="006A4F21"/>
    <w:rsid w:val="006C2FA7"/>
    <w:rsid w:val="006C3807"/>
    <w:rsid w:val="006C3DEE"/>
    <w:rsid w:val="006C4B34"/>
    <w:rsid w:val="006C6AD0"/>
    <w:rsid w:val="006E40BB"/>
    <w:rsid w:val="00713F92"/>
    <w:rsid w:val="00741039"/>
    <w:rsid w:val="00760A84"/>
    <w:rsid w:val="00766BAC"/>
    <w:rsid w:val="00767E5D"/>
    <w:rsid w:val="007702AB"/>
    <w:rsid w:val="00780483"/>
    <w:rsid w:val="0079068C"/>
    <w:rsid w:val="007B6A36"/>
    <w:rsid w:val="007B6F92"/>
    <w:rsid w:val="007C6F28"/>
    <w:rsid w:val="007D04F6"/>
    <w:rsid w:val="007D42F5"/>
    <w:rsid w:val="007D7967"/>
    <w:rsid w:val="007E6C60"/>
    <w:rsid w:val="007F4022"/>
    <w:rsid w:val="008013A8"/>
    <w:rsid w:val="00816671"/>
    <w:rsid w:val="00862F01"/>
    <w:rsid w:val="008A188E"/>
    <w:rsid w:val="008D1F5A"/>
    <w:rsid w:val="008D6E3A"/>
    <w:rsid w:val="008D7989"/>
    <w:rsid w:val="008E57F2"/>
    <w:rsid w:val="008F4096"/>
    <w:rsid w:val="008F5422"/>
    <w:rsid w:val="008F7CA6"/>
    <w:rsid w:val="0090192B"/>
    <w:rsid w:val="00904E41"/>
    <w:rsid w:val="00914B5A"/>
    <w:rsid w:val="00923158"/>
    <w:rsid w:val="009269FC"/>
    <w:rsid w:val="0093158F"/>
    <w:rsid w:val="00931792"/>
    <w:rsid w:val="00933FFE"/>
    <w:rsid w:val="009372B9"/>
    <w:rsid w:val="00937981"/>
    <w:rsid w:val="00951D7D"/>
    <w:rsid w:val="00952FC9"/>
    <w:rsid w:val="00960EFB"/>
    <w:rsid w:val="0096174F"/>
    <w:rsid w:val="00965935"/>
    <w:rsid w:val="00965B1C"/>
    <w:rsid w:val="00982C3F"/>
    <w:rsid w:val="009A7228"/>
    <w:rsid w:val="009B426B"/>
    <w:rsid w:val="009C04C5"/>
    <w:rsid w:val="009C05D6"/>
    <w:rsid w:val="009C5E00"/>
    <w:rsid w:val="009D3722"/>
    <w:rsid w:val="009F0BE3"/>
    <w:rsid w:val="009F317C"/>
    <w:rsid w:val="009F659B"/>
    <w:rsid w:val="00A30AFA"/>
    <w:rsid w:val="00A43F7D"/>
    <w:rsid w:val="00A60DD8"/>
    <w:rsid w:val="00A6710D"/>
    <w:rsid w:val="00A77D99"/>
    <w:rsid w:val="00A85E08"/>
    <w:rsid w:val="00A870AE"/>
    <w:rsid w:val="00AA4CBA"/>
    <w:rsid w:val="00AA6571"/>
    <w:rsid w:val="00AB69D4"/>
    <w:rsid w:val="00AB75DD"/>
    <w:rsid w:val="00AC3792"/>
    <w:rsid w:val="00AD34B9"/>
    <w:rsid w:val="00AD5FCF"/>
    <w:rsid w:val="00AE6470"/>
    <w:rsid w:val="00AF6C3B"/>
    <w:rsid w:val="00B04EE0"/>
    <w:rsid w:val="00B05DE6"/>
    <w:rsid w:val="00B12610"/>
    <w:rsid w:val="00B12A57"/>
    <w:rsid w:val="00B2446C"/>
    <w:rsid w:val="00B313D8"/>
    <w:rsid w:val="00B33440"/>
    <w:rsid w:val="00B378AF"/>
    <w:rsid w:val="00B554D6"/>
    <w:rsid w:val="00B56426"/>
    <w:rsid w:val="00B70D74"/>
    <w:rsid w:val="00B72E9C"/>
    <w:rsid w:val="00B83732"/>
    <w:rsid w:val="00B871BD"/>
    <w:rsid w:val="00BA7226"/>
    <w:rsid w:val="00BC68F1"/>
    <w:rsid w:val="00BC6B02"/>
    <w:rsid w:val="00BD7B2E"/>
    <w:rsid w:val="00BF7486"/>
    <w:rsid w:val="00C03B6A"/>
    <w:rsid w:val="00C03D10"/>
    <w:rsid w:val="00C1213B"/>
    <w:rsid w:val="00C124B0"/>
    <w:rsid w:val="00C22D05"/>
    <w:rsid w:val="00C53B3C"/>
    <w:rsid w:val="00C56611"/>
    <w:rsid w:val="00C5669D"/>
    <w:rsid w:val="00C724CC"/>
    <w:rsid w:val="00C83A4B"/>
    <w:rsid w:val="00C84E02"/>
    <w:rsid w:val="00C875D7"/>
    <w:rsid w:val="00C95029"/>
    <w:rsid w:val="00CA0D1F"/>
    <w:rsid w:val="00CA25CC"/>
    <w:rsid w:val="00CA5042"/>
    <w:rsid w:val="00CB0386"/>
    <w:rsid w:val="00CC74EA"/>
    <w:rsid w:val="00CD06CB"/>
    <w:rsid w:val="00CD3015"/>
    <w:rsid w:val="00CE3437"/>
    <w:rsid w:val="00D33B1D"/>
    <w:rsid w:val="00D45479"/>
    <w:rsid w:val="00D5588E"/>
    <w:rsid w:val="00D65A68"/>
    <w:rsid w:val="00D73896"/>
    <w:rsid w:val="00D75A0B"/>
    <w:rsid w:val="00D85030"/>
    <w:rsid w:val="00D867DD"/>
    <w:rsid w:val="00D901D3"/>
    <w:rsid w:val="00DA1B83"/>
    <w:rsid w:val="00DA1F6D"/>
    <w:rsid w:val="00DD3452"/>
    <w:rsid w:val="00DE617B"/>
    <w:rsid w:val="00E42E55"/>
    <w:rsid w:val="00E6371C"/>
    <w:rsid w:val="00E7141B"/>
    <w:rsid w:val="00E7645B"/>
    <w:rsid w:val="00E93071"/>
    <w:rsid w:val="00EA239B"/>
    <w:rsid w:val="00EA579B"/>
    <w:rsid w:val="00EB0824"/>
    <w:rsid w:val="00EC1EDB"/>
    <w:rsid w:val="00F2444F"/>
    <w:rsid w:val="00F34ADA"/>
    <w:rsid w:val="00F451CD"/>
    <w:rsid w:val="00F72B4C"/>
    <w:rsid w:val="00F9326C"/>
    <w:rsid w:val="00F94C4D"/>
    <w:rsid w:val="00FC46D8"/>
    <w:rsid w:val="00FD6ED7"/>
    <w:rsid w:val="00FE563C"/>
    <w:rsid w:val="00FF1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E408"/>
  <w15:chartTrackingRefBased/>
  <w15:docId w15:val="{EADCA87F-4A81-3548-A048-C3069D9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4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04C5"/>
    <w:rPr>
      <w:sz w:val="21"/>
      <w:szCs w:val="21"/>
    </w:rPr>
  </w:style>
  <w:style w:type="paragraph" w:styleId="a4">
    <w:name w:val="annotation text"/>
    <w:basedOn w:val="a"/>
    <w:link w:val="a5"/>
    <w:uiPriority w:val="99"/>
    <w:semiHidden/>
    <w:unhideWhenUsed/>
    <w:rsid w:val="009C04C5"/>
    <w:pPr>
      <w:jc w:val="left"/>
    </w:pPr>
    <w:rPr>
      <w:szCs w:val="22"/>
    </w:rPr>
  </w:style>
  <w:style w:type="character" w:customStyle="1" w:styleId="a5">
    <w:name w:val="批注文字 字符"/>
    <w:basedOn w:val="a0"/>
    <w:link w:val="a4"/>
    <w:uiPriority w:val="99"/>
    <w:semiHidden/>
    <w:rsid w:val="009C04C5"/>
    <w:rPr>
      <w:szCs w:val="22"/>
    </w:rPr>
  </w:style>
  <w:style w:type="paragraph" w:styleId="a6">
    <w:name w:val="Balloon Text"/>
    <w:basedOn w:val="a"/>
    <w:link w:val="a7"/>
    <w:uiPriority w:val="99"/>
    <w:semiHidden/>
    <w:unhideWhenUsed/>
    <w:rsid w:val="009C04C5"/>
    <w:rPr>
      <w:rFonts w:ascii="宋体" w:eastAsia="宋体"/>
      <w:sz w:val="18"/>
      <w:szCs w:val="18"/>
    </w:rPr>
  </w:style>
  <w:style w:type="character" w:customStyle="1" w:styleId="a7">
    <w:name w:val="批注框文本 字符"/>
    <w:basedOn w:val="a0"/>
    <w:link w:val="a6"/>
    <w:uiPriority w:val="99"/>
    <w:semiHidden/>
    <w:rsid w:val="009C04C5"/>
    <w:rPr>
      <w:rFonts w:ascii="宋体" w:eastAsia="宋体"/>
      <w:sz w:val="18"/>
      <w:szCs w:val="18"/>
    </w:rPr>
  </w:style>
  <w:style w:type="paragraph" w:customStyle="1" w:styleId="EndNoteBibliographyTitle">
    <w:name w:val="EndNote Bibliography Title"/>
    <w:basedOn w:val="a"/>
    <w:link w:val="EndNoteBibliographyTitle0"/>
    <w:rsid w:val="009C04C5"/>
    <w:pPr>
      <w:jc w:val="center"/>
    </w:pPr>
    <w:rPr>
      <w:rFonts w:ascii="DengXian" w:eastAsia="DengXian" w:hAnsi="DengXian"/>
      <w:sz w:val="20"/>
    </w:rPr>
  </w:style>
  <w:style w:type="character" w:customStyle="1" w:styleId="EndNoteBibliographyTitle0">
    <w:name w:val="EndNote Bibliography Title 字符"/>
    <w:basedOn w:val="a0"/>
    <w:link w:val="EndNoteBibliographyTitle"/>
    <w:rsid w:val="009C04C5"/>
    <w:rPr>
      <w:rFonts w:ascii="DengXian" w:eastAsia="DengXian" w:hAnsi="DengXian"/>
      <w:sz w:val="20"/>
    </w:rPr>
  </w:style>
  <w:style w:type="paragraph" w:customStyle="1" w:styleId="EndNoteBibliography">
    <w:name w:val="EndNote Bibliography"/>
    <w:basedOn w:val="a"/>
    <w:link w:val="EndNoteBibliography0"/>
    <w:rsid w:val="009C04C5"/>
    <w:rPr>
      <w:rFonts w:ascii="DengXian" w:eastAsia="DengXian" w:hAnsi="DengXian"/>
      <w:sz w:val="20"/>
    </w:rPr>
  </w:style>
  <w:style w:type="character" w:customStyle="1" w:styleId="EndNoteBibliography0">
    <w:name w:val="EndNote Bibliography 字符"/>
    <w:basedOn w:val="a0"/>
    <w:link w:val="EndNoteBibliography"/>
    <w:rsid w:val="009C04C5"/>
    <w:rPr>
      <w:rFonts w:ascii="DengXian" w:eastAsia="DengXian" w:hAnsi="DengXian"/>
      <w:sz w:val="20"/>
    </w:rPr>
  </w:style>
  <w:style w:type="character" w:styleId="a8">
    <w:name w:val="Hyperlink"/>
    <w:basedOn w:val="a0"/>
    <w:uiPriority w:val="99"/>
    <w:unhideWhenUsed/>
    <w:rsid w:val="009C04C5"/>
    <w:rPr>
      <w:color w:val="0563C1" w:themeColor="hyperlink"/>
      <w:u w:val="single"/>
    </w:rPr>
  </w:style>
  <w:style w:type="character" w:styleId="a9">
    <w:name w:val="Unresolved Mention"/>
    <w:basedOn w:val="a0"/>
    <w:uiPriority w:val="99"/>
    <w:semiHidden/>
    <w:unhideWhenUsed/>
    <w:rsid w:val="009C0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yyh</dc:creator>
  <cp:keywords/>
  <dc:description/>
  <cp:lastModifiedBy>yyh</cp:lastModifiedBy>
  <cp:revision>11</cp:revision>
  <dcterms:created xsi:type="dcterms:W3CDTF">2023-10-08T06:27:00Z</dcterms:created>
  <dcterms:modified xsi:type="dcterms:W3CDTF">2023-10-08T14:52:00Z</dcterms:modified>
</cp:coreProperties>
</file>