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新生儿溶血病患儿临床资料分析与不同治疗方法的比较</w:t>
      </w: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张也</w:t>
      </w:r>
    </w:p>
    <w:p>
      <w:pPr>
        <w:jc w:val="left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（安岳县人民医院输血科  四川 安岳642350）</w:t>
      </w:r>
      <w:bookmarkStart w:id="0" w:name="_GoBack"/>
      <w:bookmarkEnd w:id="0"/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【摘要】目的：</w:t>
      </w:r>
      <w:r>
        <w:rPr>
          <w:rFonts w:hint="eastAsia" w:ascii="宋体" w:hAnsi="宋体" w:eastAsia="宋体" w:cs="宋体"/>
          <w:sz w:val="28"/>
          <w:szCs w:val="28"/>
        </w:rPr>
        <w:t>分析新生儿溶血病患儿临床资料，比较不同治疗方法的疗效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。方法：</w:t>
      </w:r>
      <w:r>
        <w:rPr>
          <w:rFonts w:hint="eastAsia" w:ascii="宋体" w:hAnsi="宋体" w:eastAsia="宋体" w:cs="宋体"/>
          <w:sz w:val="28"/>
          <w:szCs w:val="28"/>
        </w:rPr>
        <w:t>收集本院新生儿科2022年1月-2022年3月住院的49例诊断为新生儿溶血病的患儿资料，比较分析临床资料以及不同治疗方法的效果。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结果：</w:t>
      </w:r>
      <w:r>
        <w:rPr>
          <w:rFonts w:hint="eastAsia" w:ascii="宋体" w:hAnsi="宋体" w:eastAsia="宋体" w:cs="宋体"/>
          <w:sz w:val="28"/>
          <w:szCs w:val="28"/>
        </w:rPr>
        <w:t>最常用的治疗方法是单独应用蓝光治疗和蓝光+丙种球蛋白输注的联合治疗。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结论：</w:t>
      </w:r>
      <w:r>
        <w:rPr>
          <w:rFonts w:hint="eastAsia" w:ascii="宋体" w:hAnsi="宋体" w:eastAsia="宋体" w:cs="宋体"/>
          <w:sz w:val="28"/>
          <w:szCs w:val="28"/>
        </w:rPr>
        <w:t>新生儿溶血病严重威胁着新生儿的生命安全，采用蓝光与丙种球蛋白输注的联合治疗，效果更显著，临床治疗意义更大。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【关键词】蓝光治疗；丙种球蛋白；新生儿溶血病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新生儿溶血病是指由于母婴血型不合，母亲体内产生与胎儿</w:t>
      </w:r>
      <w:r>
        <w:rPr>
          <w:rFonts w:hint="eastAsia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"https://baike.baidu.com/item/%E8%A1%80%E5%9E%8B%E6%8A%97%E5%8E%9F/5546368?fromModule=lemma_inlink" \t "https://baike.baidu.com/item/%E6%96%B0%E7%94%9F%E5%84%BF%E6%BA%B6%E8%A1%80%E7%97%85/_blank" </w:instrText>
      </w:r>
      <w:r>
        <w:rPr>
          <w:rFonts w:hint="eastAsia"/>
        </w:rPr>
        <w:fldChar w:fldCharType="separate"/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u w:val="none"/>
        </w:rPr>
        <w:t>血型抗原</w:t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不配的</w:t>
      </w:r>
      <w:r>
        <w:fldChar w:fldCharType="begin"/>
      </w:r>
      <w:r>
        <w:instrText xml:space="preserve"> HYPERLINK "https://baike.baidu.com/item/%E8%A1%80%E5%9E%8B%E6%8A%97%E4%BD%93/1244494?fromModule=lemma_inlink" \t "https://baike.baidu.com/item/%E6%96%B0%E7%94%9F%E5%84%BF%E6%BA%B6%E8%A1%80%E7%97%85/_blank"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u w:val="none"/>
        </w:rPr>
        <w:t>血型抗体</w:t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，这种抗体通过</w:t>
      </w:r>
      <w:r>
        <w:fldChar w:fldCharType="begin"/>
      </w:r>
      <w:r>
        <w:instrText xml:space="preserve"> HYPERLINK "https://baike.baidu.com/item/%E8%83%8E%E7%9B%98/1171595?fromModule=lemma_inlink" \t "https://baike.baidu.com/item/%E6%96%B0%E7%94%9F%E5%84%BF%E6%BA%B6%E8%A1%80%E7%97%85/_blank"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u w:val="none"/>
        </w:rPr>
        <w:t>胎盘</w:t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进入到胎儿体内引起同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族</w:t>
      </w:r>
      <w:r>
        <w:fldChar w:fldCharType="begin"/>
      </w:r>
      <w:r>
        <w:instrText xml:space="preserve"> HYPERLINK "https://baike.baidu.com/item/%E5%85%8D%E7%96%AB%E6%80%A7%E6%BA%B6%E8%A1%80/15798157?fromModule=lemma_inlink" \t "https://baike.baidu.com/item/%E6%96%B0%E7%94%9F%E5%84%BF%E6%BA%B6%E8%A1%80%E7%97%85/_blank"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u w:val="none"/>
        </w:rPr>
        <w:t>免疫性溶血</w:t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，常见</w:t>
      </w:r>
      <w:r>
        <w:fldChar w:fldCharType="begin"/>
      </w:r>
      <w:r>
        <w:instrText xml:space="preserve"> HYPERLINK "https://baike.baidu.com/item/Rh%E8%A1%80%E5%9E%8B%E7%B3%BB%E7%BB%9F/9496850?fromModule=lemma_inlink" \t "https://baike.baidu.com/item/%E6%96%B0%E7%94%9F%E5%84%BF%E6%BA%B6%E8%A1%80%E7%97%85/_blank"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u w:val="none"/>
        </w:rPr>
        <w:t>Rh血型系统</w:t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和</w:t>
      </w:r>
      <w:r>
        <w:fldChar w:fldCharType="begin"/>
      </w:r>
      <w:r>
        <w:instrText xml:space="preserve"> HYPERLINK "https://baike.baidu.com/item/ABO%E8%A1%80%E5%9E%8B%E7%B3%BB%E7%BB%9F/216305?fromModule=lemma_inlink" \t "https://baike.baidu.com/item/%E6%96%B0%E7%94%9F%E5%84%BF%E6%BA%B6%E8%A1%80%E7%97%85/_blank"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u w:val="none"/>
        </w:rPr>
        <w:t>ABO血型系统</w:t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的血型不合，是新生儿早期出现高胆红素血症的重要原因</w:t>
      </w:r>
      <w:r>
        <w:rPr>
          <w:rStyle w:val="11"/>
          <w:rFonts w:hint="eastAsia" w:ascii="宋体" w:hAnsi="宋体" w:eastAsia="宋体" w:cs="宋体"/>
          <w:b/>
          <w:bCs/>
          <w:sz w:val="32"/>
          <w:szCs w:val="32"/>
        </w:rPr>
        <w:footnoteReference w:id="0"/>
      </w:r>
      <w:r>
        <w:rPr>
          <w:rFonts w:hint="eastAsia" w:ascii="宋体" w:hAnsi="宋体" w:eastAsia="宋体" w:cs="宋体"/>
          <w:sz w:val="28"/>
          <w:szCs w:val="28"/>
        </w:rPr>
        <w:t>。本文收集本院新生儿科2022年1月-2022年3月住院的49例诊断为新生儿溶血病的患儿，比较分析临床资料以及不同治疗方法的效果。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1.资料与方法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1.1一般资料：本文选取本院新生儿科2022年1月-2022年3月住院的49例诊断为新生儿溶血病的患儿。</w:t>
      </w:r>
    </w:p>
    <w:p>
      <w:pPr>
        <w:rPr>
          <w:rFonts w:ascii="Helvetica" w:hAnsi="Helvetica" w:eastAsia="宋体" w:cs="Helvetic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1.2方法：收集49例病例的年龄、性别、孕周、母婴血型、抗体筛查，游离试验、放散试验、总胆红素、直接胆红素、间接胆红素、红细胞数、血红蛋白、网织红细胞百分比、经皮胆红素、输血量、治疗方案等临床数据资料。49例新生儿放散试验均为阳性，确认诊断为新生儿溶血病，男性患儿29例（59%），女性患儿20例（41%），出生日龄在0-9天不等，母婴血型O-A有25例（51%），O-B有22例（22%），A-AB有1例,另外1例为母A型Rh阴性孕妇，患儿为AB型Rh阳性，49例直接抗人球试验（DAT）阳性30例（73.2%），间接抗人球试验（IAT）阳性47例（95.9%），放散试验均为阳性，抗体筛查均为阴性。在本次收集的49例患儿中，仅有2例（4.1%）患儿进行了输血治疗，基本资料和血清学数据见表1。</w:t>
      </w:r>
    </w:p>
    <w:p>
      <w:pPr>
        <w:ind w:firstLine="560" w:firstLineChars="200"/>
        <w:rPr>
          <w:rFonts w:ascii="Helvetica" w:hAnsi="Helvetica" w:eastAsia="宋体" w:cs="Helvetica"/>
          <w:sz w:val="28"/>
          <w:szCs w:val="28"/>
        </w:rPr>
      </w:pPr>
    </w:p>
    <w:p>
      <w:pPr>
        <w:ind w:firstLine="1200" w:firstLineChars="5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表1  49例HDN患儿性别、年龄、血型、血清学结果分布</w:t>
      </w:r>
    </w:p>
    <w:tbl>
      <w:tblPr>
        <w:tblStyle w:val="6"/>
        <w:tblW w:w="5693" w:type="dxa"/>
        <w:tblInd w:w="1314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080"/>
        <w:gridCol w:w="1080"/>
        <w:gridCol w:w="1080"/>
        <w:gridCol w:w="122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例数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占比%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9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年龄</w:t>
            </w:r>
          </w:p>
        </w:tc>
        <w:tc>
          <w:tcPr>
            <w:tcW w:w="0" w:type="auto"/>
          </w:tcPr>
          <w:p>
            <w:pPr>
              <w:widowControl/>
              <w:ind w:right="24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24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24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＜1天</w:t>
            </w:r>
          </w:p>
        </w:tc>
        <w:tc>
          <w:tcPr>
            <w:tcW w:w="0" w:type="auto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1-5天</w:t>
            </w:r>
          </w:p>
        </w:tc>
        <w:tc>
          <w:tcPr>
            <w:tcW w:w="0" w:type="auto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＞5天</w:t>
            </w:r>
          </w:p>
        </w:tc>
        <w:tc>
          <w:tcPr>
            <w:tcW w:w="0" w:type="auto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240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母婴血型</w:t>
            </w:r>
          </w:p>
        </w:tc>
        <w:tc>
          <w:tcPr>
            <w:tcW w:w="0" w:type="auto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O-A</w:t>
            </w:r>
          </w:p>
        </w:tc>
        <w:tc>
          <w:tcPr>
            <w:tcW w:w="0" w:type="auto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O-B</w:t>
            </w:r>
          </w:p>
        </w:tc>
        <w:tc>
          <w:tcPr>
            <w:tcW w:w="0" w:type="auto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A阳-AB</w:t>
            </w:r>
          </w:p>
        </w:tc>
        <w:tc>
          <w:tcPr>
            <w:tcW w:w="0" w:type="auto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A阴-AB</w:t>
            </w:r>
          </w:p>
        </w:tc>
        <w:tc>
          <w:tcPr>
            <w:tcW w:w="0" w:type="auto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血清学结果</w:t>
            </w:r>
          </w:p>
        </w:tc>
        <w:tc>
          <w:tcPr>
            <w:tcW w:w="0" w:type="auto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DAT+</w:t>
            </w:r>
          </w:p>
        </w:tc>
        <w:tc>
          <w:tcPr>
            <w:tcW w:w="0" w:type="auto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IAT+      </w:t>
            </w:r>
          </w:p>
        </w:tc>
        <w:tc>
          <w:tcPr>
            <w:tcW w:w="0" w:type="auto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放散试验+     </w:t>
            </w:r>
          </w:p>
        </w:tc>
        <w:tc>
          <w:tcPr>
            <w:tcW w:w="0" w:type="auto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抗体筛查+</w:t>
            </w:r>
          </w:p>
        </w:tc>
        <w:tc>
          <w:tcPr>
            <w:tcW w:w="0" w:type="auto"/>
          </w:tcPr>
          <w:p>
            <w:pPr>
              <w:widowControl/>
              <w:ind w:right="48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 xml:space="preserve">输血         </w:t>
            </w:r>
          </w:p>
        </w:tc>
        <w:tc>
          <w:tcPr>
            <w:tcW w:w="0" w:type="auto"/>
          </w:tcPr>
          <w:p>
            <w:pPr>
              <w:widowControl/>
              <w:ind w:right="48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4.1</w:t>
            </w:r>
          </w:p>
        </w:tc>
      </w:tr>
    </w:tbl>
    <w:p>
      <w:pPr>
        <w:rPr>
          <w:rFonts w:ascii="Helvetica" w:hAnsi="Helvetica" w:eastAsia="宋体" w:cs="Helvetica"/>
          <w:sz w:val="28"/>
          <w:szCs w:val="28"/>
        </w:rPr>
      </w:pPr>
    </w:p>
    <w:p>
      <w:pPr>
        <w:rPr>
          <w:rFonts w:ascii="Helvetica" w:hAnsi="Helvetica" w:eastAsia="宋体" w:cs="Helvetica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1.3统计学方法：运用SPSS 21.0统计学软件对本文所得实验数据进行检验，总胆红素、直接胆红素、间接胆红素、经皮胆红素、血红蛋白采用t检验进行分析，RET%采用卡方检验进行分析。P≤0.05代表差异存在统计学意义。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2.结果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分析49例数据中，常规治疗1例，蓝光治疗16例，丙种球蛋白输注4例，蓝光和丙种球蛋白联合治疗25例，蓝光丙球输血2例，丙球输血1例，见表2。记录每一例患者整个治疗过程中各项溶血指标，分析每项指标的变化。5种治疗方案中，蓝光治疗和蓝光+丙种球蛋白输注联合治疗，这两种方案用得最多，对比最常用两种方案的治疗效果，蓝光治疗组总胆红素下降例数7例（43%），蓝光+丙球联合治疗组总胆红素下降14例（56%），见表3。蓝光治疗组和蓝光+丙球治疗组在治疗前临床资料分析得出，治疗前两组患儿在胎龄、性别、入院时年龄、总胆红素、血红蛋白（HB）、网织红细胞百分比（RET）、直接抗人球蛋白实验（DAT）、治疗周期比较差异无统计学意义（P≥0.05），说明治疗前两组患儿临床资料情况大致一致，这两组患者均未进行输血治疗，见表4。蓝光治疗组和蓝光+丙球治疗组在治疗前后总胆红素、直接胆红素、间接胆红素比较差异无统计学意义（P&gt;0.05）,但经皮胆红素治疗前后差异较大，有统计学意义（P&lt;0.05）,血红蛋白（HB）和网织红细胞百分比（RET）在治疗前后均有降低，有统计学意义（P&lt;0.05），见表5。</w:t>
      </w:r>
    </w:p>
    <w:p>
      <w:pPr>
        <w:ind w:firstLine="2160" w:firstLineChars="900"/>
        <w:rPr>
          <w:rFonts w:ascii="宋体" w:hAnsi="宋体" w:eastAsia="宋体" w:cs="宋体"/>
          <w:sz w:val="24"/>
        </w:rPr>
      </w:pPr>
    </w:p>
    <w:p>
      <w:pPr>
        <w:ind w:firstLine="2160" w:firstLineChars="900"/>
        <w:rPr>
          <w:rFonts w:ascii="Helvetica" w:hAnsi="Helvetica" w:eastAsia="宋体" w:cs="Helvetica"/>
          <w:sz w:val="24"/>
        </w:rPr>
      </w:pPr>
    </w:p>
    <w:p>
      <w:pPr>
        <w:ind w:firstLine="2160" w:firstLineChars="9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表2  49例HDN患儿不同治疗方法的分布</w:t>
      </w:r>
    </w:p>
    <w:tbl>
      <w:tblPr>
        <w:tblStyle w:val="6"/>
        <w:tblW w:w="662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84"/>
        <w:gridCol w:w="1080"/>
        <w:gridCol w:w="1080"/>
        <w:gridCol w:w="10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治疗方法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例数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占比%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常规治疗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蓝光治疗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丙种球蛋白输注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蓝光治疗+丙种球蛋白输注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蓝光治疗+丙种球蛋白输注+输血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丙种球蛋白输注+输血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2.5</w:t>
            </w:r>
          </w:p>
        </w:tc>
      </w:tr>
    </w:tbl>
    <w:p>
      <w:pPr>
        <w:ind w:firstLine="2160" w:firstLineChars="900"/>
        <w:rPr>
          <w:rFonts w:ascii="宋体" w:hAnsi="宋体" w:eastAsia="宋体" w:cs="宋体"/>
          <w:sz w:val="24"/>
        </w:rPr>
      </w:pPr>
    </w:p>
    <w:p>
      <w:pPr>
        <w:ind w:firstLine="2160" w:firstLineChars="900"/>
        <w:rPr>
          <w:rFonts w:ascii="宋体" w:hAnsi="宋体" w:eastAsia="宋体" w:cs="宋体"/>
          <w:sz w:val="24"/>
        </w:rPr>
      </w:pPr>
    </w:p>
    <w:p>
      <w:pPr>
        <w:ind w:firstLine="2160" w:firstLineChars="9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表3  最常用两种治疗方法疗效比较</w:t>
      </w:r>
    </w:p>
    <w:tbl>
      <w:tblPr>
        <w:tblStyle w:val="6"/>
        <w:tblW w:w="841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686"/>
        <w:gridCol w:w="1281"/>
        <w:gridCol w:w="686"/>
        <w:gridCol w:w="1464"/>
        <w:gridCol w:w="686"/>
        <w:gridCol w:w="1563"/>
        <w:gridCol w:w="6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治疗方案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总例数</w:t>
            </w:r>
          </w:p>
        </w:tc>
        <w:tc>
          <w:tcPr>
            <w:tcW w:w="1281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总胆红素下降例数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占比%</w:t>
            </w:r>
          </w:p>
        </w:tc>
        <w:tc>
          <w:tcPr>
            <w:tcW w:w="146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直接胆红素下降例数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占比%</w:t>
            </w:r>
          </w:p>
        </w:tc>
        <w:tc>
          <w:tcPr>
            <w:tcW w:w="1563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经皮胆红素下降例数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占比%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蓝光治疗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24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24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蓝光+丙球联合治疗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8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24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72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240"/>
              <w:jc w:val="righ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84</w:t>
            </w:r>
          </w:p>
        </w:tc>
      </w:tr>
    </w:tbl>
    <w:p>
      <w:pPr>
        <w:ind w:firstLine="2400" w:firstLineChars="1000"/>
        <w:rPr>
          <w:rFonts w:ascii="Helvetica" w:hAnsi="Helvetica" w:eastAsia="宋体" w:cs="Helvetica"/>
          <w:sz w:val="24"/>
        </w:rPr>
      </w:pPr>
    </w:p>
    <w:p>
      <w:pPr>
        <w:ind w:firstLine="1440" w:firstLineChars="600"/>
        <w:rPr>
          <w:rFonts w:ascii="Helvetica" w:hAnsi="Helvetica" w:eastAsia="宋体" w:cs="Helvetica"/>
          <w:sz w:val="24"/>
        </w:rPr>
      </w:pPr>
    </w:p>
    <w:p>
      <w:pPr>
        <w:ind w:firstLine="1440" w:firstLineChars="600"/>
        <w:rPr>
          <w:rFonts w:ascii="宋体" w:hAnsi="宋体" w:eastAsia="宋体" w:cs="宋体"/>
          <w:sz w:val="24"/>
        </w:rPr>
      </w:pPr>
    </w:p>
    <w:p>
      <w:pPr>
        <w:ind w:firstLine="1440" w:firstLineChars="6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表4 最常用两种治疗方法治疗前临床资料分析比较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842"/>
        <w:gridCol w:w="3069"/>
        <w:gridCol w:w="6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480" w:hanging="480" w:hangingChars="2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蓝光治疗</w:t>
            </w:r>
          </w:p>
          <w:p>
            <w:pPr>
              <w:ind w:left="480" w:hanging="480" w:hangingChars="2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（n=16）</w:t>
            </w:r>
          </w:p>
        </w:tc>
        <w:tc>
          <w:tcPr>
            <w:tcW w:w="30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720" w:hanging="720" w:hangingChars="3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蓝光+丙球联合治疗组（n=25）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P值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胎龄（周）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160B1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60B11"/>
                <w:kern w:val="0"/>
                <w:sz w:val="24"/>
              </w:rPr>
              <w:t>39.1±0.75</w:t>
            </w:r>
          </w:p>
          <w:p>
            <w:pPr>
              <w:rPr>
                <w:rFonts w:ascii="宋体" w:hAnsi="宋体" w:eastAsia="宋体" w:cs="宋体"/>
                <w:color w:val="160B11"/>
                <w:kern w:val="0"/>
                <w:sz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38.0±1.96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性别（女），n（%）</w:t>
            </w:r>
          </w:p>
        </w:tc>
        <w:tc>
          <w:tcPr>
            <w:tcW w:w="1842" w:type="dxa"/>
          </w:tcPr>
          <w:p>
            <w:pPr>
              <w:rPr>
                <w:rFonts w:ascii="宋体" w:hAnsi="宋体" w:eastAsia="宋体" w:cs="宋体"/>
                <w:color w:val="160B1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60B11"/>
                <w:kern w:val="0"/>
                <w:sz w:val="24"/>
              </w:rPr>
              <w:t>31.2%</w:t>
            </w:r>
          </w:p>
        </w:tc>
        <w:tc>
          <w:tcPr>
            <w:tcW w:w="306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40.0%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入院时年龄（天）</w:t>
            </w:r>
          </w:p>
        </w:tc>
        <w:tc>
          <w:tcPr>
            <w:tcW w:w="1842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1.80±1.81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6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2.48±2.26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0.32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总胆红素（mg/dl）</w:t>
            </w:r>
          </w:p>
        </w:tc>
        <w:tc>
          <w:tcPr>
            <w:tcW w:w="1842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157.50±82.02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6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192.31±94.33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血红蛋白HB（g/l）</w:t>
            </w:r>
          </w:p>
        </w:tc>
        <w:tc>
          <w:tcPr>
            <w:tcW w:w="1842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163.68±20.86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6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164.48±16.40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0.89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网织红细胞Ret（%）</w:t>
            </w:r>
          </w:p>
        </w:tc>
        <w:tc>
          <w:tcPr>
            <w:tcW w:w="1842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3.46±1.32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6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4.64±1.95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直抗试验（阳性），n（%）</w:t>
            </w:r>
          </w:p>
        </w:tc>
        <w:tc>
          <w:tcPr>
            <w:tcW w:w="1842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56.2%</w:t>
            </w:r>
          </w:p>
        </w:tc>
        <w:tc>
          <w:tcPr>
            <w:tcW w:w="306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56.0%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治疗周期</w:t>
            </w:r>
          </w:p>
        </w:tc>
        <w:tc>
          <w:tcPr>
            <w:tcW w:w="1842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5.43±2.18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6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5.80±2.12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输血</w:t>
            </w:r>
          </w:p>
        </w:tc>
        <w:tc>
          <w:tcPr>
            <w:tcW w:w="1842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3069" w:type="dxa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</w:tr>
    </w:tbl>
    <w:p>
      <w:pPr>
        <w:ind w:firstLine="2400" w:firstLineChars="1000"/>
        <w:rPr>
          <w:rFonts w:ascii="Helvetica" w:hAnsi="Helvetica" w:eastAsia="宋体" w:cs="Helvetica"/>
          <w:sz w:val="24"/>
        </w:rPr>
      </w:pPr>
    </w:p>
    <w:p>
      <w:pPr>
        <w:ind w:firstLine="2400" w:firstLineChars="1000"/>
        <w:rPr>
          <w:rFonts w:ascii="Helvetica" w:hAnsi="Helvetica" w:eastAsia="宋体" w:cs="Helvetica"/>
          <w:sz w:val="24"/>
        </w:rPr>
      </w:pPr>
    </w:p>
    <w:p>
      <w:pPr>
        <w:ind w:firstLine="2400" w:firstLineChars="1000"/>
        <w:rPr>
          <w:rFonts w:ascii="Helvetica" w:hAnsi="Helvetica" w:eastAsia="宋体" w:cs="Helvetica"/>
          <w:sz w:val="24"/>
        </w:rPr>
      </w:pPr>
    </w:p>
    <w:p>
      <w:pPr>
        <w:ind w:firstLine="2400" w:firstLineChars="1000"/>
        <w:rPr>
          <w:rFonts w:ascii="Helvetica" w:hAnsi="Helvetica" w:eastAsia="宋体" w:cs="Helvetica"/>
          <w:sz w:val="24"/>
        </w:rPr>
      </w:pPr>
    </w:p>
    <w:p>
      <w:pPr>
        <w:ind w:firstLine="2400" w:firstLineChars="1000"/>
        <w:rPr>
          <w:rFonts w:ascii="Helvetica" w:hAnsi="Helvetica" w:eastAsia="宋体" w:cs="Helvetica"/>
          <w:sz w:val="24"/>
        </w:rPr>
      </w:pPr>
    </w:p>
    <w:p>
      <w:pPr>
        <w:ind w:firstLine="2400" w:firstLineChars="1000"/>
        <w:rPr>
          <w:rFonts w:ascii="Helvetica" w:hAnsi="Helvetica" w:eastAsia="宋体" w:cs="Helvetica"/>
          <w:sz w:val="24"/>
        </w:rPr>
      </w:pPr>
    </w:p>
    <w:p>
      <w:pPr>
        <w:ind w:firstLine="2400" w:firstLineChars="1000"/>
        <w:rPr>
          <w:rFonts w:ascii="Helvetica" w:hAnsi="Helvetica" w:eastAsia="宋体" w:cs="Helvetica"/>
          <w:sz w:val="24"/>
        </w:rPr>
      </w:pPr>
    </w:p>
    <w:p>
      <w:pPr>
        <w:ind w:firstLine="2400" w:firstLineChars="1000"/>
        <w:rPr>
          <w:rFonts w:ascii="Helvetica" w:hAnsi="Helvetica" w:eastAsia="宋体" w:cs="Helvetica"/>
          <w:sz w:val="24"/>
        </w:rPr>
      </w:pPr>
    </w:p>
    <w:p>
      <w:pPr>
        <w:ind w:firstLine="2400" w:firstLineChars="10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表5 最常用两种治疗方法治疗前后疗效比较</w:t>
      </w:r>
    </w:p>
    <w:tbl>
      <w:tblPr>
        <w:tblStyle w:val="7"/>
        <w:tblW w:w="960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429"/>
        <w:gridCol w:w="432"/>
        <w:gridCol w:w="1379"/>
        <w:gridCol w:w="1413"/>
        <w:gridCol w:w="1551"/>
        <w:gridCol w:w="1272"/>
        <w:gridCol w:w="1414"/>
        <w:gridCol w:w="127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治疗方案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例数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治疗时</w:t>
            </w: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总胆红素</w:t>
            </w: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直接胆红素</w:t>
            </w:r>
          </w:p>
        </w:tc>
        <w:tc>
          <w:tcPr>
            <w:tcW w:w="15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间接胆红素</w:t>
            </w: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经皮胆红素</w:t>
            </w:r>
          </w:p>
        </w:tc>
        <w:tc>
          <w:tcPr>
            <w:tcW w:w="14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HB（g/L）</w:t>
            </w:r>
          </w:p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RET(%)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蓝光治疗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1379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157.5±82.0</w:t>
            </w:r>
          </w:p>
        </w:tc>
        <w:tc>
          <w:tcPr>
            <w:tcW w:w="1413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10.9±3.0</w:t>
            </w:r>
          </w:p>
        </w:tc>
        <w:tc>
          <w:tcPr>
            <w:tcW w:w="1552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146.5±79.7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11.0±3.51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163.6±20.8</w:t>
            </w:r>
          </w:p>
        </w:tc>
        <w:tc>
          <w:tcPr>
            <w:tcW w:w="1274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3.24±1.54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后</w:t>
            </w:r>
          </w:p>
        </w:tc>
        <w:tc>
          <w:tcPr>
            <w:tcW w:w="1379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165.5±40.2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10.8±1.7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154.6±39.5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6.35±2.54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147.8±17.8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1.96±1.08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379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0.75</w:t>
            </w:r>
          </w:p>
        </w:tc>
        <w:tc>
          <w:tcPr>
            <w:tcW w:w="141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0.89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27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蓝光+丙球治疗</w:t>
            </w:r>
          </w:p>
        </w:tc>
        <w:tc>
          <w:tcPr>
            <w:tcW w:w="0" w:type="auto"/>
            <w:vMerge w:val="restart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25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1379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192.3±94.3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11.6±3.4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180.6±91.9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11.0±4.31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164.4±16.4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4.64±1.95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后</w:t>
            </w:r>
          </w:p>
        </w:tc>
        <w:tc>
          <w:tcPr>
            <w:tcW w:w="1379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162.0±32.7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10.67±2.72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151.3±31.6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5.49±2.75</w:t>
            </w:r>
          </w:p>
        </w:tc>
        <w:tc>
          <w:tcPr>
            <w:tcW w:w="1414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141.7±15.1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1.88±1.32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141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0.27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27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vertAlign w:val="superscript"/>
              </w:rPr>
              <w:t>*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注：*表示差异有统计学意义（P&lt;0.05）。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特别说明：蓝光组有4例、蓝光丙球组有2例未复查相关溶血指标就办理出院，上述数据未将其纳入统计。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Helvetica" w:hAnsi="Helvetica" w:eastAsia="宋体" w:cs="Helvetica"/>
          <w:sz w:val="24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3.讨论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49例数据中，只有2例是在蓝光丙球联合治疗基础上还输了血，两例患儿治疗前血红蛋白分别是91g/L和94g/L，输血治疗后血红蛋白分别为121g/L和122g/L。新生儿</w:t>
      </w:r>
      <w:r>
        <w:rPr>
          <w:rFonts w:hint="eastAsia" w:ascii="宋体" w:hAnsi="宋体" w:eastAsia="宋体" w:cs="宋体"/>
          <w:color w:val="121212"/>
          <w:sz w:val="27"/>
          <w:szCs w:val="27"/>
          <w:shd w:val="clear" w:color="auto" w:fill="FFFFFF"/>
        </w:rPr>
        <w:t>溶血病患儿都有不同程度的贫血，但一般程度较轻，重度贫血仅占5%左右，绝大多数ABO溶血病的患儿不需要换血，经积极治疗后预后良好。新生儿ABO溶血病贫血程度与溶血程度一致。轻度溶血者常贫血较轻，严重溶血病患儿可能有较重的贫血，可根据贫血程度给予补充铁剂或输血等相应的治疗</w:t>
      </w:r>
      <w:r>
        <w:rPr>
          <w:rStyle w:val="11"/>
          <w:rFonts w:hint="eastAsia" w:ascii="宋体" w:hAnsi="宋体" w:eastAsia="宋体" w:cs="宋体"/>
          <w:b/>
          <w:bCs/>
          <w:color w:val="121212"/>
          <w:sz w:val="32"/>
          <w:szCs w:val="32"/>
          <w:shd w:val="clear" w:color="auto" w:fill="FFFFFF"/>
        </w:rPr>
        <w:footnoteReference w:id="1"/>
      </w:r>
      <w:r>
        <w:rPr>
          <w:rFonts w:hint="eastAsia" w:ascii="宋体" w:hAnsi="宋体" w:eastAsia="宋体" w:cs="宋体"/>
          <w:color w:val="121212"/>
          <w:sz w:val="27"/>
          <w:szCs w:val="27"/>
          <w:shd w:val="clear" w:color="auto" w:fill="FFFFFF"/>
        </w:rPr>
        <w:t>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本文中，血胆红素的治疗前后差异无统计学意义，经皮胆红素治疗前后差异较大。有研究表明：经皮胆红素动态监测在新生儿黄疸干预治疗中具有很大的应用价值</w:t>
      </w:r>
      <w:r>
        <w:rPr>
          <w:rStyle w:val="11"/>
          <w:rFonts w:hint="eastAsia" w:ascii="宋体" w:hAnsi="宋体" w:eastAsia="宋体" w:cs="宋体"/>
          <w:b/>
          <w:bCs/>
          <w:sz w:val="32"/>
          <w:szCs w:val="32"/>
        </w:rPr>
        <w:footnoteReference w:id="2"/>
      </w:r>
      <w:r>
        <w:rPr>
          <w:rFonts w:hint="eastAsia" w:ascii="宋体" w:hAnsi="宋体" w:eastAsia="宋体" w:cs="宋体"/>
          <w:sz w:val="28"/>
          <w:szCs w:val="28"/>
        </w:rPr>
        <w:t>。根据“母婴ABO血型不合路径标准住院流程”的出院标准</w:t>
      </w:r>
      <w:r>
        <w:rPr>
          <w:rStyle w:val="11"/>
          <w:rFonts w:hint="eastAsia" w:ascii="宋体" w:hAnsi="宋体" w:eastAsia="宋体" w:cs="宋体"/>
          <w:b/>
          <w:bCs/>
          <w:sz w:val="32"/>
          <w:szCs w:val="32"/>
        </w:rPr>
        <w:footnoteReference w:id="3"/>
      </w:r>
      <w:r>
        <w:rPr>
          <w:rFonts w:hint="eastAsia" w:ascii="宋体" w:hAnsi="宋体" w:eastAsia="宋体" w:cs="宋体"/>
          <w:sz w:val="28"/>
          <w:szCs w:val="28"/>
        </w:rPr>
        <w:t>:1.血清胆红素稳定下降，结束光疗24-48小时后，胆红素仍低于需要临床干预的黄疸标准。2.血红蛋白稳定。3.患儿一般情况好，体重增加理想。本文中患儿基本达到出院标准，经皮胆红素监测连续且下降显著，可认为治疗有效。</w:t>
      </w:r>
    </w:p>
    <w:p>
      <w:pPr>
        <w:ind w:firstLine="560" w:firstLineChars="200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本文中网织红细胞百分比治疗前后差异也较大。研究表明：发生溶血性贫血时，骨髓像出现红细胞系大量增生，造成血清中的RET水平显著提高</w:t>
      </w:r>
      <w:r>
        <w:rPr>
          <w:rStyle w:val="11"/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footnoteReference w:id="4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。对健康新生儿而言，其RET%正常范围为2%-6%</w:t>
      </w:r>
      <w:r>
        <w:rPr>
          <w:rStyle w:val="11"/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footnoteReference w:id="5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。研究报道新生儿出生24h内RET%值达最高水平，为2.09%-6.81%，随着日龄的增加而逐步下降，最低达0.27%-1.15%，渡过低值期后可逐渐回升。在婴儿期前后达到成人水平(0.5%-1.5%)</w:t>
      </w:r>
      <w:r>
        <w:rPr>
          <w:rStyle w:val="11"/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footnoteReference w:id="6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认为RET%可视为评价 HDN患儿治疗期间的敏感参数,即 RET%显著降低时,提示疗效明显</w:t>
      </w:r>
      <w:r>
        <w:rPr>
          <w:rStyle w:val="11"/>
          <w:rFonts w:hint="eastAsia" w:ascii="宋体" w:hAnsi="宋体" w:eastAsia="宋体" w:cs="宋体"/>
          <w:b/>
          <w:bCs/>
          <w:sz w:val="32"/>
          <w:szCs w:val="32"/>
        </w:rPr>
        <w:footnoteReference w:id="7"/>
      </w:r>
      <w:r>
        <w:rPr>
          <w:rFonts w:hint="eastAsia" w:ascii="宋体" w:hAnsi="宋体" w:eastAsia="宋体" w:cs="宋体"/>
          <w:sz w:val="28"/>
          <w:szCs w:val="28"/>
        </w:rPr>
        <w:t>。因此可根据RET%（P＜0.05）判断治疗有效。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新生儿溶血症，在早期发生时，未合并其他严重疾病的情况下，应用蓝光+丙种球蛋白输注联合治疗，经皮胆红素和网织红百分比下降（P＜0.05），且幅度比蓝光组更大。可认为蓝光+丙种球蛋白联合治疗比蓝光治疗效果更加显著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新生儿溶血症是导致新生儿早期高胆红素血症的重要原因，轻者可通过治疗完全恢复，重者可引起胆红素脑病，遗留严重的后遗症，甚至有生命的危险</w:t>
      </w:r>
      <w:r>
        <w:rPr>
          <w:rStyle w:val="11"/>
          <w:rFonts w:hint="eastAsia" w:ascii="宋体" w:hAnsi="宋体" w:eastAsia="宋体" w:cs="宋体"/>
          <w:b/>
          <w:bCs/>
          <w:sz w:val="32"/>
          <w:szCs w:val="32"/>
        </w:rPr>
        <w:footnoteReference w:id="8"/>
      </w:r>
      <w:r>
        <w:rPr>
          <w:rFonts w:hint="eastAsia" w:ascii="宋体" w:hAnsi="宋体" w:eastAsia="宋体" w:cs="宋体"/>
          <w:sz w:val="28"/>
          <w:szCs w:val="28"/>
        </w:rPr>
        <w:t>。新生儿溶血症的临床表现不尽相同，主要与新生儿的免疫反应、抗原性反应及胎儿期的干预和代偿有关。新生儿溶血症的主要临床表现为胎儿水肿、黄痘、贫血，肝脾肿大等，严重的还可能发生脑红素脑病等并发症，是导致胎儿残疾，死亡的疾病之一。早期的预防是降低新生儿溶血症发生的主要途径之一，可以很大程度的降低新生儿溶血症的发生率。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国外有研究表明，所有新生儿都应接受维生素K预防</w:t>
      </w:r>
      <w:r>
        <w:rPr>
          <w:rStyle w:val="11"/>
          <w:rFonts w:hint="eastAsia" w:ascii="宋体" w:hAnsi="宋体" w:eastAsia="宋体" w:cs="宋体"/>
          <w:b/>
          <w:bCs/>
          <w:sz w:val="32"/>
          <w:szCs w:val="32"/>
        </w:rPr>
        <w:footnoteReference w:id="9"/>
      </w:r>
      <w:r>
        <w:rPr>
          <w:rFonts w:hint="eastAsia" w:ascii="宋体" w:hAnsi="宋体" w:eastAsia="宋体" w:cs="宋体"/>
          <w:sz w:val="28"/>
          <w:szCs w:val="28"/>
        </w:rPr>
        <w:t>，因为已经证明出生后口服和肌肉注射预防性维生素K对预防经典HDN有效。 但是没有随机试验观察维生素K补充剂对晚期HDN的疗效。较早的比较口服和肌肉注射维生素K的试验没有将临床出血作为结果，但得出结论，两种给药途径都能改善凝血状态的生化指标。从欧洲国家的监测数据来看，在口服方案按时完成的情况下，IM和口服方案在预防经典和晚期HDN方面似乎没有显著差异。这项研究提示我们在处理新生儿溶血病时可应用维生素K来预防H</w:t>
      </w:r>
      <w:r>
        <w:rPr>
          <w:rFonts w:ascii="宋体" w:hAnsi="宋体" w:eastAsia="宋体" w:cs="宋体"/>
          <w:sz w:val="28"/>
          <w:szCs w:val="28"/>
        </w:rPr>
        <w:t>DN</w:t>
      </w:r>
      <w:r>
        <w:rPr>
          <w:rFonts w:hint="eastAsia" w:ascii="宋体" w:hAnsi="宋体" w:eastAsia="宋体" w:cs="宋体"/>
          <w:sz w:val="28"/>
          <w:szCs w:val="28"/>
        </w:rPr>
        <w:t>，为新生儿溶血病的治疗提供新思路。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参考文献</w:t>
      </w:r>
    </w:p>
    <w:p>
      <w:pPr>
        <w:ind w:left="1120" w:hanging="1120" w:hanging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【1】  </w:t>
      </w:r>
      <w:r>
        <w:rPr>
          <w:rFonts w:hint="eastAsia" w:ascii="宋体" w:hAnsi="宋体" w:eastAsia="宋体" w:cs="宋体"/>
          <w:szCs w:val="21"/>
        </w:rPr>
        <w:t>狄义红.早期静脉滴注丙种球蛋白治疗新生儿溶血的临床疗效观察[J].中国医学工程，2014，22（9）：97</w:t>
      </w:r>
    </w:p>
    <w:p>
      <w:pPr>
        <w:ind w:left="1120" w:hanging="1120" w:hangingChars="4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【2】  </w:t>
      </w:r>
      <w:r>
        <w:rPr>
          <w:rFonts w:hint="eastAsia" w:ascii="宋体" w:hAnsi="宋体" w:eastAsia="宋体" w:cs="宋体"/>
          <w:szCs w:val="21"/>
        </w:rPr>
        <w:t>方建培，田兆嵩.新生儿溶血病的输血治疗[J].中国输血杂志1999，3（12）：201-204.</w:t>
      </w:r>
    </w:p>
    <w:p>
      <w:pPr>
        <w:ind w:left="1400" w:hanging="1400" w:hangingChars="5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【3】 </w:t>
      </w:r>
      <w:r>
        <w:rPr>
          <w:rFonts w:hint="eastAsia" w:ascii="宋体" w:hAnsi="宋体" w:eastAsia="宋体" w:cs="宋体"/>
          <w:szCs w:val="21"/>
        </w:rPr>
        <w:t>苗艳秋.经皮胆红素动态监测对新生儿黄疸干预治疗作用的效果观察[J].中国医药指南.2016，14（7）：69</w:t>
      </w:r>
    </w:p>
    <w:p>
      <w:pPr>
        <w:ind w:left="1120" w:hanging="1120" w:hangingChars="4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【4】 </w:t>
      </w:r>
      <w:r>
        <w:rPr>
          <w:rFonts w:hint="eastAsia" w:ascii="宋体" w:hAnsi="宋体" w:eastAsia="宋体" w:cs="宋体"/>
          <w:szCs w:val="21"/>
        </w:rPr>
        <w:t>《临床诊疗指南-小儿内科分册》(中华医学会编著，人民卫生出版社),《诸福棠实用儿科学(第七版)》(人民卫生出版社)</w:t>
      </w:r>
    </w:p>
    <w:p>
      <w:pPr>
        <w:ind w:left="1120" w:hanging="1120" w:hanging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【5】  </w:t>
      </w:r>
      <w:r>
        <w:rPr>
          <w:rFonts w:hint="eastAsia" w:ascii="宋体" w:hAnsi="宋体" w:eastAsia="宋体" w:cs="宋体"/>
          <w:szCs w:val="21"/>
        </w:rPr>
        <w:t>屠佳燕,孙健琦,吴瑾惠,等.血红蛋白和网织红细胞指标对ABOHDN的临床预测意义[J].中国输血杂志,2020,33(5):476-478.</w:t>
      </w:r>
    </w:p>
    <w:p>
      <w:pPr>
        <w:ind w:left="1120" w:hanging="1120" w:hanging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【6】 </w:t>
      </w:r>
      <w:r>
        <w:rPr>
          <w:rFonts w:hint="eastAsia" w:ascii="宋体" w:hAnsi="宋体" w:eastAsia="宋体" w:cs="宋体"/>
          <w:szCs w:val="21"/>
        </w:rPr>
        <w:t xml:space="preserve">康从越,程庆妮,王凌雪,等.碳氧血红蛋白及网织红细胞在 HDN诊断中的应用价值[J].临床医学研究 与实践,2020,5(12):106-107,110. </w:t>
      </w:r>
    </w:p>
    <w:p>
      <w:pPr>
        <w:ind w:left="1120" w:hanging="1120" w:hanging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【7】 </w:t>
      </w:r>
      <w:r>
        <w:rPr>
          <w:rFonts w:hint="eastAsia" w:ascii="宋体" w:hAnsi="宋体" w:eastAsia="宋体" w:cs="宋体"/>
          <w:szCs w:val="21"/>
        </w:rPr>
        <w:t>铁峰,尚楠,刘鹏飞.HDN患儿网织红细胞参数变化及临床意义[J].哈尔滨医药,2020,40(2):118-119.</w:t>
      </w:r>
    </w:p>
    <w:p>
      <w:pPr>
        <w:ind w:left="1120" w:hanging="1120" w:hanging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【8】  </w:t>
      </w:r>
      <w:r>
        <w:rPr>
          <w:rFonts w:hint="eastAsia" w:ascii="宋体" w:hAnsi="宋体" w:eastAsia="宋体" w:cs="宋体"/>
          <w:szCs w:val="21"/>
        </w:rPr>
        <w:t>王阳，成丽琴.新生儿溶血病患儿网织红细胞系列参数变化及临床意义[J].临床血液学杂志，2022，35（4）：260-263.</w:t>
      </w:r>
    </w:p>
    <w:p>
      <w:pPr>
        <w:ind w:left="1120" w:hanging="1120" w:hanging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【9】  </w:t>
      </w:r>
      <w:r>
        <w:rPr>
          <w:rFonts w:hint="eastAsia" w:ascii="宋体" w:hAnsi="宋体" w:eastAsia="宋体" w:cs="宋体"/>
          <w:szCs w:val="21"/>
        </w:rPr>
        <w:t>张文远，张桂平，孙志华.不同剂量的丙种球蛋白治疗新生儿ABO溶血症疗效观察[J].职业与健康，2013，29（6）：765-768.</w:t>
      </w:r>
    </w:p>
    <w:p>
      <w:pPr>
        <w:widowControl/>
        <w:shd w:val="clear" w:color="auto" w:fill="FFFFFF"/>
        <w:spacing w:line="18" w:lineRule="atLeast"/>
        <w:ind w:left="1400" w:hanging="1400" w:hangingChars="5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【10】  </w:t>
      </w:r>
      <w:r>
        <w:fldChar w:fldCharType="begin"/>
      </w:r>
      <w:r>
        <w:instrText xml:space="preserve"> HYPERLINK "https://pubmed.ncbi.nlm.nih.gov/?term=Jullien+S&amp;cauthor_id=34496783"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color w:val="auto"/>
          <w:szCs w:val="21"/>
          <w:u w:val="none"/>
          <w:shd w:val="clear" w:color="auto" w:fill="FFFFFF"/>
        </w:rPr>
        <w:t>Sophie Jullien</w:t>
      </w:r>
      <w:r>
        <w:rPr>
          <w:rStyle w:val="10"/>
          <w:rFonts w:hint="eastAsia" w:ascii="宋体" w:hAnsi="宋体" w:eastAsia="宋体" w:cs="宋体"/>
          <w:color w:val="auto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zCs w:val="21"/>
          <w:shd w:val="clear" w:color="auto" w:fill="FFFFFF"/>
        </w:rPr>
        <w:t>，Vitamin K prophylaxis in newborns，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bidi="ar"/>
        </w:rPr>
        <w:t>BMC Pediatr.2021 Sep 8;21(Suppl 1):350.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 doi: 10.1186/s12887-021-02701-4.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0">
    <w:p/>
  </w:footnote>
  <w:footnote w:type="continuationSeparator" w:id="21">
    <w:p>
      <w:r>
        <w:continuationSeparator/>
      </w:r>
    </w:p>
  </w:footnote>
  <w:footnote w:id="0">
    <w:p>
      <w:pPr>
        <w:pStyle w:val="5"/>
      </w:pPr>
    </w:p>
  </w:footnote>
  <w:footnote w:id="1">
    <w:p>
      <w:pPr>
        <w:pStyle w:val="5"/>
      </w:pPr>
      <w:r>
        <w:rPr>
          <w:rStyle w:val="11"/>
        </w:rPr>
        <w:footnoteRef/>
      </w:r>
      <w:r>
        <w:t xml:space="preserve"> </w:t>
      </w:r>
    </w:p>
  </w:footnote>
  <w:footnote w:id="2">
    <w:p>
      <w:pPr>
        <w:pStyle w:val="5"/>
      </w:pPr>
    </w:p>
  </w:footnote>
  <w:footnote w:id="3">
    <w:p>
      <w:pPr>
        <w:pStyle w:val="5"/>
      </w:pPr>
    </w:p>
  </w:footnote>
  <w:footnote w:id="4">
    <w:p>
      <w:pPr>
        <w:pStyle w:val="5"/>
      </w:pPr>
    </w:p>
  </w:footnote>
  <w:footnote w:id="5">
    <w:p>
      <w:pPr>
        <w:pStyle w:val="5"/>
      </w:pPr>
    </w:p>
  </w:footnote>
  <w:footnote w:id="6">
    <w:p>
      <w:pPr>
        <w:pStyle w:val="5"/>
      </w:pPr>
    </w:p>
  </w:footnote>
  <w:footnote w:id="7">
    <w:p>
      <w:pPr>
        <w:pStyle w:val="5"/>
      </w:pPr>
    </w:p>
  </w:footnote>
  <w:footnote w:id="8">
    <w:p>
      <w:pPr>
        <w:pStyle w:val="5"/>
      </w:pPr>
    </w:p>
  </w:footnote>
  <w:footnote w:id="9">
    <w:p>
      <w:pPr>
        <w:pStyle w:val="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footnotePr>
    <w:footnote w:id="20"/>
    <w:footnote w:id="2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4OGIyYzM5MWJhODI5NjE5MjdjNzNjYjhlN2UwODYifQ=="/>
  </w:docVars>
  <w:rsids>
    <w:rsidRoot w:val="004C2C3F"/>
    <w:rsid w:val="000775BE"/>
    <w:rsid w:val="0014500D"/>
    <w:rsid w:val="0021705D"/>
    <w:rsid w:val="0040791F"/>
    <w:rsid w:val="004C2C3F"/>
    <w:rsid w:val="004D1673"/>
    <w:rsid w:val="00517366"/>
    <w:rsid w:val="00894B7C"/>
    <w:rsid w:val="00B53F65"/>
    <w:rsid w:val="00B55311"/>
    <w:rsid w:val="00FA5ADD"/>
    <w:rsid w:val="04BC35A7"/>
    <w:rsid w:val="0C7D62F3"/>
    <w:rsid w:val="0CBD1773"/>
    <w:rsid w:val="0CF0121D"/>
    <w:rsid w:val="0DAC31FD"/>
    <w:rsid w:val="0E050012"/>
    <w:rsid w:val="10933224"/>
    <w:rsid w:val="11CC1FEE"/>
    <w:rsid w:val="12700E1F"/>
    <w:rsid w:val="18713B7C"/>
    <w:rsid w:val="1961105B"/>
    <w:rsid w:val="1AB82655"/>
    <w:rsid w:val="1DD82A20"/>
    <w:rsid w:val="21E35D6F"/>
    <w:rsid w:val="282A0995"/>
    <w:rsid w:val="2A0D1E72"/>
    <w:rsid w:val="2B437AC7"/>
    <w:rsid w:val="300A03A7"/>
    <w:rsid w:val="3505784C"/>
    <w:rsid w:val="3831344B"/>
    <w:rsid w:val="3AD43583"/>
    <w:rsid w:val="3B1874BC"/>
    <w:rsid w:val="3C243FD6"/>
    <w:rsid w:val="45312FA2"/>
    <w:rsid w:val="458111CA"/>
    <w:rsid w:val="4ED550D3"/>
    <w:rsid w:val="4EF61026"/>
    <w:rsid w:val="53EC7729"/>
    <w:rsid w:val="56AA7F5B"/>
    <w:rsid w:val="57347649"/>
    <w:rsid w:val="5DB00EC6"/>
    <w:rsid w:val="65C543DB"/>
    <w:rsid w:val="661D32F5"/>
    <w:rsid w:val="6991407B"/>
    <w:rsid w:val="7BAD5578"/>
    <w:rsid w:val="7F7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asciiTheme="majorHAnsi" w:hAnsiTheme="majorHAnsi" w:cstheme="majorBidi"/>
      <w:b/>
      <w:bCs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eastAsia="宋体" w:asciiTheme="majorHAnsi" w:hAnsiTheme="majorHAnsi" w:cstheme="majorBidi"/>
      <w:b/>
      <w:bCs/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ndnote reference"/>
    <w:basedOn w:val="8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footnote reference"/>
    <w:basedOn w:val="8"/>
    <w:qFormat/>
    <w:uiPriority w:val="0"/>
    <w:rPr>
      <w:vertAlign w:val="superscript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4">
    <w:name w:val="脚注文本 字符"/>
    <w:basedOn w:val="8"/>
    <w:link w:val="5"/>
    <w:qFormat/>
    <w:uiPriority w:val="0"/>
    <w:rPr>
      <w:rFonts w:asciiTheme="minorHAnsi" w:hAnsiTheme="minorHAnsi" w:eastAsiaTheme="minorEastAsia" w:cstheme="minorBidi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936</Words>
  <Characters>5336</Characters>
  <Lines>44</Lines>
  <Paragraphs>12</Paragraphs>
  <TotalTime>19</TotalTime>
  <ScaleCrop>false</ScaleCrop>
  <LinksUpToDate>false</LinksUpToDate>
  <CharactersWithSpaces>6260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2023-08-26T08:55:00Z</dcterms:created>
  <dc:creator>汉江</dc:creator>
  <cp:lastModifiedBy>ｙｅ</cp:lastModifiedBy>
  <dcterms:modified xsi:type="dcterms:W3CDTF">2023-09-28T05:06:48Z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311C70DD80FD4A72847C425942C18B70_12</vt:lpwstr>
  </property>
</Properties>
</file>